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188" w:rsidRDefault="00BE1419">
      <w:pPr>
        <w:rPr>
          <w:rFonts w:ascii="Times New Roman" w:eastAsia="黑体" w:hAnsi="Times New Roman"/>
          <w:sz w:val="32"/>
          <w:szCs w:val="32"/>
        </w:rPr>
      </w:pPr>
      <w:r>
        <w:rPr>
          <w:rFonts w:ascii="Times New Roman" w:eastAsia="黑体" w:hAnsi="Times New Roman"/>
          <w:sz w:val="32"/>
          <w:szCs w:val="32"/>
        </w:rPr>
        <w:t>附件</w:t>
      </w:r>
      <w:r>
        <w:rPr>
          <w:rFonts w:ascii="Times New Roman" w:eastAsia="黑体" w:hAnsi="Times New Roman"/>
          <w:sz w:val="32"/>
          <w:szCs w:val="32"/>
        </w:rPr>
        <w:t>1</w:t>
      </w:r>
    </w:p>
    <w:p w:rsidR="00144188" w:rsidRDefault="00144188">
      <w:pPr>
        <w:spacing w:line="600" w:lineRule="exact"/>
        <w:rPr>
          <w:rFonts w:ascii="Times New Roman" w:eastAsia="黑体" w:hAnsi="Times New Roman"/>
          <w:sz w:val="32"/>
          <w:szCs w:val="32"/>
        </w:rPr>
      </w:pPr>
    </w:p>
    <w:p w:rsidR="008A7A0B" w:rsidRDefault="008A7A0B">
      <w:pPr>
        <w:spacing w:line="600" w:lineRule="exact"/>
        <w:rPr>
          <w:rFonts w:ascii="Times New Roman" w:eastAsia="黑体" w:hAnsi="Times New Roman"/>
          <w:sz w:val="32"/>
          <w:szCs w:val="32"/>
        </w:rPr>
      </w:pPr>
    </w:p>
    <w:p w:rsidR="008A7A0B" w:rsidRDefault="008A7A0B">
      <w:pPr>
        <w:spacing w:line="600" w:lineRule="exact"/>
        <w:rPr>
          <w:rFonts w:ascii="Times New Roman" w:eastAsia="黑体" w:hAnsi="Times New Roman"/>
          <w:sz w:val="32"/>
          <w:szCs w:val="32"/>
        </w:rPr>
      </w:pPr>
    </w:p>
    <w:p w:rsidR="008A7A0B" w:rsidRDefault="008A7A0B">
      <w:pPr>
        <w:spacing w:line="600" w:lineRule="exact"/>
        <w:rPr>
          <w:rFonts w:ascii="Times New Roman" w:eastAsia="黑体" w:hAnsi="Times New Roman"/>
          <w:sz w:val="32"/>
          <w:szCs w:val="32"/>
        </w:rPr>
      </w:pPr>
    </w:p>
    <w:p w:rsidR="00144188" w:rsidRDefault="00BE1419">
      <w:pPr>
        <w:jc w:val="center"/>
        <w:rPr>
          <w:rFonts w:ascii="方正小标宋简体" w:eastAsia="方正小标宋简体" w:hAnsi="Times New Roman"/>
          <w:sz w:val="52"/>
          <w:szCs w:val="52"/>
        </w:rPr>
      </w:pPr>
      <w:r>
        <w:rPr>
          <w:rFonts w:ascii="方正小标宋简体" w:eastAsia="方正小标宋简体" w:hAnsi="Times New Roman" w:hint="eastAsia"/>
          <w:sz w:val="52"/>
          <w:szCs w:val="52"/>
        </w:rPr>
        <w:t>2021年度郴州市第一人民医院部门整体支出绩效自评报告</w:t>
      </w:r>
    </w:p>
    <w:p w:rsidR="00144188" w:rsidRDefault="00144188">
      <w:pPr>
        <w:jc w:val="center"/>
        <w:rPr>
          <w:rFonts w:ascii="Times New Roman" w:eastAsia="方正小标宋_GBK" w:hAnsi="Times New Roman"/>
          <w:b/>
          <w:sz w:val="52"/>
          <w:szCs w:val="52"/>
        </w:rPr>
      </w:pPr>
    </w:p>
    <w:p w:rsidR="00144188" w:rsidRDefault="00144188">
      <w:pPr>
        <w:jc w:val="center"/>
        <w:rPr>
          <w:rFonts w:ascii="Times New Roman" w:eastAsia="楷体_GB2312" w:hAnsi="Times New Roman"/>
          <w:b/>
          <w:sz w:val="32"/>
          <w:szCs w:val="32"/>
        </w:rPr>
      </w:pPr>
    </w:p>
    <w:p w:rsidR="00144188" w:rsidRDefault="00144188">
      <w:pPr>
        <w:jc w:val="center"/>
        <w:rPr>
          <w:rFonts w:ascii="Times New Roman" w:eastAsia="楷体_GB2312" w:hAnsi="Times New Roman"/>
          <w:b/>
          <w:sz w:val="32"/>
          <w:szCs w:val="32"/>
        </w:rPr>
      </w:pPr>
    </w:p>
    <w:p w:rsidR="00144188" w:rsidRDefault="00144188">
      <w:pPr>
        <w:jc w:val="center"/>
        <w:rPr>
          <w:rFonts w:ascii="Times New Roman" w:eastAsia="楷体_GB2312" w:hAnsi="Times New Roman"/>
          <w:b/>
          <w:sz w:val="32"/>
          <w:szCs w:val="32"/>
        </w:rPr>
      </w:pPr>
    </w:p>
    <w:p w:rsidR="00144188" w:rsidRDefault="00144188">
      <w:pPr>
        <w:jc w:val="center"/>
        <w:rPr>
          <w:rFonts w:ascii="Times New Roman" w:eastAsia="黑体" w:hAnsi="Times New Roman"/>
          <w:sz w:val="32"/>
          <w:szCs w:val="32"/>
        </w:rPr>
      </w:pPr>
    </w:p>
    <w:p w:rsidR="00144188" w:rsidRDefault="00144188">
      <w:pPr>
        <w:jc w:val="center"/>
        <w:rPr>
          <w:rFonts w:ascii="Times New Roman" w:eastAsia="黑体" w:hAnsi="Times New Roman"/>
          <w:sz w:val="32"/>
          <w:szCs w:val="32"/>
        </w:rPr>
      </w:pPr>
    </w:p>
    <w:p w:rsidR="00144188" w:rsidRDefault="00144188">
      <w:pPr>
        <w:jc w:val="center"/>
        <w:rPr>
          <w:rFonts w:ascii="Times New Roman" w:eastAsia="黑体" w:hAnsi="Times New Roman"/>
          <w:sz w:val="32"/>
          <w:szCs w:val="32"/>
        </w:rPr>
      </w:pPr>
    </w:p>
    <w:p w:rsidR="00144188" w:rsidRDefault="00144188">
      <w:pPr>
        <w:jc w:val="center"/>
        <w:rPr>
          <w:rFonts w:ascii="Times New Roman" w:eastAsia="黑体" w:hAnsi="Times New Roman"/>
          <w:sz w:val="32"/>
          <w:szCs w:val="32"/>
        </w:rPr>
      </w:pPr>
    </w:p>
    <w:p w:rsidR="00144188" w:rsidRDefault="00144188">
      <w:pPr>
        <w:spacing w:line="600" w:lineRule="exact"/>
        <w:rPr>
          <w:rFonts w:ascii="Times New Roman" w:eastAsia="黑体" w:hAnsi="Times New Roman"/>
          <w:sz w:val="32"/>
          <w:szCs w:val="32"/>
        </w:rPr>
      </w:pPr>
    </w:p>
    <w:p w:rsidR="00144188" w:rsidRDefault="00BE1419">
      <w:pPr>
        <w:spacing w:line="600" w:lineRule="exact"/>
        <w:ind w:firstLineChars="50" w:firstLine="160"/>
        <w:jc w:val="center"/>
        <w:rPr>
          <w:rFonts w:ascii="Times New Roman" w:eastAsia="仿宋_GB2312" w:hAnsi="Times New Roman"/>
          <w:sz w:val="32"/>
          <w:szCs w:val="32"/>
          <w:u w:val="single"/>
        </w:rPr>
      </w:pPr>
      <w:r>
        <w:rPr>
          <w:rFonts w:ascii="Times New Roman" w:eastAsia="仿宋_GB2312" w:hAnsi="Times New Roman"/>
          <w:sz w:val="32"/>
          <w:szCs w:val="32"/>
        </w:rPr>
        <w:t>单位名称：</w:t>
      </w:r>
      <w:r>
        <w:rPr>
          <w:rFonts w:ascii="Times New Roman" w:eastAsia="仿宋_GB2312" w:hAnsi="Times New Roman"/>
          <w:sz w:val="32"/>
          <w:szCs w:val="32"/>
          <w:u w:val="single"/>
        </w:rPr>
        <w:t>（盖章）</w:t>
      </w:r>
    </w:p>
    <w:p w:rsidR="00144188" w:rsidRDefault="00BE1419">
      <w:pPr>
        <w:spacing w:line="600" w:lineRule="exact"/>
        <w:ind w:firstLineChars="1000" w:firstLine="3200"/>
        <w:rPr>
          <w:rFonts w:ascii="Times New Roman" w:eastAsia="楷体_GB2312" w:hAnsi="Times New Roman"/>
          <w:sz w:val="32"/>
          <w:szCs w:val="32"/>
        </w:rPr>
      </w:pPr>
      <w:r>
        <w:rPr>
          <w:rFonts w:ascii="Times New Roman" w:eastAsia="楷体_GB2312" w:hAnsi="Times New Roman"/>
          <w:sz w:val="32"/>
          <w:szCs w:val="32"/>
        </w:rPr>
        <w:t>年</w:t>
      </w:r>
      <w:r>
        <w:rPr>
          <w:rFonts w:ascii="Times New Roman" w:eastAsia="楷体_GB2312" w:hAnsi="Times New Roman"/>
          <w:sz w:val="32"/>
          <w:szCs w:val="32"/>
        </w:rPr>
        <w:t xml:space="preserve">  </w:t>
      </w:r>
      <w:r>
        <w:rPr>
          <w:rFonts w:ascii="Times New Roman" w:eastAsia="楷体_GB2312" w:hAnsi="Times New Roman"/>
          <w:sz w:val="32"/>
          <w:szCs w:val="32"/>
        </w:rPr>
        <w:t>月</w:t>
      </w:r>
      <w:r>
        <w:rPr>
          <w:rFonts w:ascii="Times New Roman" w:eastAsia="楷体_GB2312" w:hAnsi="Times New Roman"/>
          <w:sz w:val="32"/>
          <w:szCs w:val="32"/>
        </w:rPr>
        <w:t xml:space="preserve">  </w:t>
      </w:r>
      <w:r>
        <w:rPr>
          <w:rFonts w:ascii="Times New Roman" w:eastAsia="楷体_GB2312" w:hAnsi="Times New Roman"/>
          <w:sz w:val="32"/>
          <w:szCs w:val="32"/>
        </w:rPr>
        <w:t>日</w:t>
      </w:r>
    </w:p>
    <w:p w:rsidR="00144188" w:rsidRDefault="00144188">
      <w:pPr>
        <w:jc w:val="center"/>
        <w:rPr>
          <w:rFonts w:ascii="Times New Roman" w:eastAsia="黑体" w:hAnsi="Times New Roman"/>
          <w:sz w:val="32"/>
          <w:szCs w:val="32"/>
        </w:rPr>
      </w:pPr>
    </w:p>
    <w:p w:rsidR="00144188" w:rsidRDefault="00BE1419">
      <w:pPr>
        <w:jc w:val="center"/>
        <w:rPr>
          <w:rFonts w:ascii="Times New Roman" w:eastAsia="仿宋_GB2312" w:hAnsi="Times New Roman"/>
          <w:sz w:val="32"/>
          <w:szCs w:val="32"/>
        </w:rPr>
      </w:pPr>
      <w:r>
        <w:rPr>
          <w:rFonts w:ascii="Times New Roman" w:eastAsia="仿宋_GB2312" w:hAnsi="Times New Roman"/>
          <w:sz w:val="32"/>
          <w:szCs w:val="32"/>
        </w:rPr>
        <w:t>（此页为封面）</w:t>
      </w:r>
    </w:p>
    <w:p w:rsidR="00144188" w:rsidRDefault="00BE1419">
      <w:pPr>
        <w:pStyle w:val="a5"/>
        <w:numPr>
          <w:ilvl w:val="0"/>
          <w:numId w:val="1"/>
        </w:numPr>
        <w:spacing w:line="550" w:lineRule="exact"/>
        <w:ind w:firstLineChars="0"/>
        <w:rPr>
          <w:rFonts w:ascii="Times New Roman" w:eastAsia="黑体" w:hAnsi="Times New Roman"/>
          <w:b/>
          <w:sz w:val="32"/>
          <w:szCs w:val="32"/>
        </w:rPr>
      </w:pPr>
      <w:r>
        <w:rPr>
          <w:rFonts w:ascii="Times New Roman" w:eastAsia="仿宋_GB2312" w:hAnsi="Times New Roman"/>
          <w:sz w:val="32"/>
          <w:szCs w:val="32"/>
        </w:rPr>
        <w:br w:type="page"/>
      </w:r>
      <w:r>
        <w:rPr>
          <w:rFonts w:ascii="Times New Roman" w:eastAsia="黑体" w:hAnsi="Times New Roman"/>
          <w:b/>
          <w:sz w:val="32"/>
          <w:szCs w:val="32"/>
        </w:rPr>
        <w:lastRenderedPageBreak/>
        <w:t>部门（单位）基本情况</w:t>
      </w:r>
    </w:p>
    <w:p w:rsidR="00144188" w:rsidRPr="001622EE" w:rsidRDefault="00BE1419" w:rsidP="001622EE">
      <w:pPr>
        <w:spacing w:line="550" w:lineRule="exact"/>
        <w:ind w:left="567"/>
        <w:rPr>
          <w:rFonts w:ascii="楷体_GB2312" w:eastAsia="楷体_GB2312" w:hAnsi="楷体_GB2312" w:cs="楷体_GB2312"/>
          <w:bCs/>
          <w:sz w:val="32"/>
          <w:szCs w:val="32"/>
        </w:rPr>
      </w:pPr>
      <w:r w:rsidRPr="001622EE">
        <w:rPr>
          <w:rFonts w:ascii="楷体_GB2312" w:eastAsia="楷体_GB2312" w:hAnsi="楷体_GB2312" w:cs="楷体_GB2312" w:hint="eastAsia"/>
          <w:bCs/>
          <w:sz w:val="32"/>
          <w:szCs w:val="32"/>
        </w:rPr>
        <w:t>1、职能职责</w:t>
      </w:r>
    </w:p>
    <w:p w:rsidR="00144188" w:rsidRDefault="00BE1419" w:rsidP="001622EE">
      <w:pPr>
        <w:shd w:val="clear" w:color="auto" w:fill="FFFFFF"/>
        <w:spacing w:line="580" w:lineRule="exact"/>
        <w:ind w:firstLineChars="200" w:firstLine="632"/>
        <w:rPr>
          <w:rFonts w:ascii="仿宋_GB2312" w:eastAsia="仿宋_GB2312"/>
          <w:spacing w:val="-2"/>
          <w:sz w:val="32"/>
          <w:szCs w:val="32"/>
        </w:rPr>
      </w:pPr>
      <w:r>
        <w:rPr>
          <w:rFonts w:ascii="仿宋_GB2312" w:eastAsia="仿宋_GB2312" w:hint="eastAsia"/>
          <w:spacing w:val="-2"/>
          <w:sz w:val="32"/>
          <w:szCs w:val="32"/>
        </w:rPr>
        <w:t>郴州市第一人民医院创立于1907年，是一所具有114年历史的集医疗急救、科研教学、康复保健为一体的国家三级甲等综合医院。医院建筑面积61.28万平</w:t>
      </w:r>
      <w:r w:rsidR="00C53C07">
        <w:rPr>
          <w:rFonts w:ascii="仿宋_GB2312" w:eastAsia="仿宋_GB2312" w:hint="eastAsia"/>
          <w:spacing w:val="-2"/>
          <w:sz w:val="32"/>
          <w:szCs w:val="32"/>
        </w:rPr>
        <w:t>方</w:t>
      </w:r>
      <w:r>
        <w:rPr>
          <w:rFonts w:ascii="仿宋_GB2312" w:eastAsia="仿宋_GB2312" w:hint="eastAsia"/>
          <w:spacing w:val="-2"/>
          <w:sz w:val="32"/>
          <w:szCs w:val="32"/>
        </w:rPr>
        <w:t>米；实际开放床位4340张；设1</w:t>
      </w:r>
      <w:r w:rsidR="00531614">
        <w:rPr>
          <w:rFonts w:ascii="仿宋_GB2312" w:eastAsia="仿宋_GB2312" w:hint="eastAsia"/>
          <w:spacing w:val="-2"/>
          <w:sz w:val="32"/>
          <w:szCs w:val="32"/>
        </w:rPr>
        <w:t>30</w:t>
      </w:r>
      <w:r>
        <w:rPr>
          <w:rFonts w:ascii="仿宋_GB2312" w:eastAsia="仿宋_GB2312" w:hint="eastAsia"/>
          <w:spacing w:val="-2"/>
          <w:sz w:val="32"/>
          <w:szCs w:val="32"/>
        </w:rPr>
        <w:t>个临床科室、11个医技中心；现有在职职工3939人，其中高级职称专家1014人（正高252人，副高762人），博士生导师1人，硕士研究生导师5</w:t>
      </w:r>
      <w:r w:rsidR="00531614">
        <w:rPr>
          <w:rFonts w:ascii="仿宋_GB2312" w:eastAsia="仿宋_GB2312" w:hint="eastAsia"/>
          <w:spacing w:val="-2"/>
          <w:sz w:val="32"/>
          <w:szCs w:val="32"/>
        </w:rPr>
        <w:t>1</w:t>
      </w:r>
      <w:r>
        <w:rPr>
          <w:rFonts w:ascii="仿宋_GB2312" w:eastAsia="仿宋_GB2312" w:hint="eastAsia"/>
          <w:spacing w:val="-2"/>
          <w:sz w:val="32"/>
          <w:szCs w:val="32"/>
        </w:rPr>
        <w:t>人，医学博士58人，医学硕士794人。目前医院拥有湖南省“121”人才工程5人，湖南省225卫生人才工程1人，享受</w:t>
      </w:r>
      <w:r w:rsidR="00531614">
        <w:rPr>
          <w:rFonts w:ascii="仿宋_GB2312" w:eastAsia="仿宋_GB2312" w:hint="eastAsia"/>
          <w:spacing w:val="-2"/>
          <w:sz w:val="32"/>
          <w:szCs w:val="32"/>
        </w:rPr>
        <w:t>政府</w:t>
      </w:r>
      <w:r>
        <w:rPr>
          <w:rFonts w:ascii="仿宋_GB2312" w:eastAsia="仿宋_GB2312" w:hint="eastAsia"/>
          <w:spacing w:val="-2"/>
          <w:sz w:val="32"/>
          <w:szCs w:val="32"/>
        </w:rPr>
        <w:t>特殊津贴专家</w:t>
      </w:r>
      <w:r w:rsidR="00531614">
        <w:rPr>
          <w:rFonts w:ascii="仿宋_GB2312" w:eastAsia="仿宋_GB2312" w:hint="eastAsia"/>
          <w:spacing w:val="-2"/>
          <w:sz w:val="32"/>
          <w:szCs w:val="32"/>
        </w:rPr>
        <w:t>5</w:t>
      </w:r>
      <w:r>
        <w:rPr>
          <w:rFonts w:ascii="仿宋_GB2312" w:eastAsia="仿宋_GB2312" w:hint="eastAsia"/>
          <w:spacing w:val="-2"/>
          <w:sz w:val="32"/>
          <w:szCs w:val="32"/>
        </w:rPr>
        <w:t>人。2021年全院门诊业务量248万人次，出院病人14.26万人次。医院现有省级临床重点专科建设项目11个，市级重点专科26个，市级重点专科建设项目3个，国家级技术研发中心1个，省级技术研发中心2个，市级技术研发中心12个。有14个专业获得国家食品药品管理局的药物临床试验资格认定。</w:t>
      </w:r>
      <w:r>
        <w:rPr>
          <w:rFonts w:ascii="仿宋_GB2312" w:eastAsia="仿宋_GB2312" w:hint="eastAsia"/>
          <w:spacing w:val="-2"/>
          <w:sz w:val="32"/>
          <w:szCs w:val="32"/>
        </w:rPr>
        <w:br/>
      </w:r>
      <w:r>
        <w:rPr>
          <w:rFonts w:ascii="仿宋_GB2312" w:eastAsia="仿宋_GB2312" w:hAnsi="宋体" w:cs="宋体" w:hint="eastAsia"/>
          <w:spacing w:val="-2"/>
          <w:sz w:val="32"/>
          <w:szCs w:val="32"/>
        </w:rPr>
        <w:t> </w:t>
      </w:r>
      <w:r w:rsidR="00946BA4">
        <w:rPr>
          <w:rFonts w:ascii="仿宋_GB2312" w:eastAsia="仿宋_GB2312" w:hAnsi="宋体" w:cs="宋体" w:hint="eastAsia"/>
          <w:spacing w:val="-2"/>
          <w:sz w:val="32"/>
          <w:szCs w:val="32"/>
        </w:rPr>
        <w:t xml:space="preserve">  </w:t>
      </w:r>
      <w:r>
        <w:rPr>
          <w:rFonts w:ascii="仿宋_GB2312" w:eastAsia="仿宋_GB2312" w:hint="eastAsia"/>
          <w:spacing w:val="-2"/>
          <w:sz w:val="32"/>
          <w:szCs w:val="32"/>
        </w:rPr>
        <w:t>近5年来，医院先后参与国家科技支撑计划重大项目、国家卫计委专项课题、美国疾病预防控制中心全球多中心项目等国际国家重大项目，主持国家自然科学基金12项、中国博士后基金2项，主持省自然科学基金、省科技计划项目、省卫计委、省教育厅等省级课题47项；获各级科技进步奖20余项；发表论文3907篇，其中</w:t>
      </w:r>
      <w:r w:rsidR="00385D19">
        <w:rPr>
          <w:rFonts w:ascii="仿宋_GB2312" w:eastAsia="仿宋_GB2312" w:hint="eastAsia"/>
          <w:spacing w:val="-2"/>
          <w:sz w:val="32"/>
          <w:szCs w:val="32"/>
        </w:rPr>
        <w:t>SCI</w:t>
      </w:r>
      <w:r>
        <w:rPr>
          <w:rFonts w:ascii="仿宋_GB2312" w:eastAsia="仿宋_GB2312" w:hint="eastAsia"/>
          <w:spacing w:val="-2"/>
          <w:sz w:val="32"/>
          <w:szCs w:val="32"/>
        </w:rPr>
        <w:t>文章140篇，中华系列文章93篇。</w:t>
      </w:r>
    </w:p>
    <w:p w:rsidR="00144188" w:rsidRDefault="00BE1419" w:rsidP="001622EE">
      <w:pPr>
        <w:shd w:val="clear" w:color="auto" w:fill="FFFFFF"/>
        <w:spacing w:line="580" w:lineRule="exact"/>
        <w:ind w:firstLineChars="250" w:firstLine="790"/>
        <w:rPr>
          <w:rFonts w:ascii="仿宋_GB2312" w:eastAsia="仿宋_GB2312"/>
          <w:spacing w:val="-2"/>
          <w:sz w:val="32"/>
          <w:szCs w:val="32"/>
        </w:rPr>
      </w:pPr>
      <w:r>
        <w:rPr>
          <w:rFonts w:ascii="仿宋_GB2312" w:eastAsia="仿宋_GB2312" w:hint="eastAsia"/>
          <w:spacing w:val="-2"/>
          <w:sz w:val="32"/>
          <w:szCs w:val="32"/>
        </w:rPr>
        <w:t>2021年，获得国家级科研课题6项，其中国家自然科</w:t>
      </w:r>
      <w:r>
        <w:rPr>
          <w:rFonts w:ascii="仿宋_GB2312" w:eastAsia="仿宋_GB2312" w:hint="eastAsia"/>
          <w:spacing w:val="-2"/>
          <w:sz w:val="32"/>
          <w:szCs w:val="32"/>
        </w:rPr>
        <w:lastRenderedPageBreak/>
        <w:t>学基金4项，国家自然科学基金项目《tfh/tfh细胞在新型冠状病毒中和抗体生成与维持中的作用与机制研究》开创我院国际合作项目先河；获得首个国家级重点实验室；获得省级临床科研平台示范基地1项；发表</w:t>
      </w:r>
      <w:r w:rsidR="00385D19">
        <w:rPr>
          <w:rFonts w:ascii="仿宋_GB2312" w:eastAsia="仿宋_GB2312" w:hint="eastAsia"/>
          <w:spacing w:val="-2"/>
          <w:sz w:val="32"/>
          <w:szCs w:val="32"/>
        </w:rPr>
        <w:t>SCI</w:t>
      </w:r>
      <w:r>
        <w:rPr>
          <w:rFonts w:ascii="仿宋_GB2312" w:eastAsia="仿宋_GB2312" w:hint="eastAsia"/>
          <w:spacing w:val="-2"/>
          <w:sz w:val="32"/>
          <w:szCs w:val="32"/>
        </w:rPr>
        <w:t>论文137篇，其中，在国际顶级期刊nature microbiology（中科院</w:t>
      </w:r>
      <w:r w:rsidR="00D11EBC">
        <w:rPr>
          <w:rFonts w:ascii="仿宋_GB2312" w:eastAsia="仿宋_GB2312" w:hint="eastAsia"/>
          <w:spacing w:val="-2"/>
          <w:sz w:val="32"/>
          <w:szCs w:val="32"/>
        </w:rPr>
        <w:t>JCR</w:t>
      </w:r>
      <w:r>
        <w:rPr>
          <w:rFonts w:ascii="仿宋_GB2312" w:eastAsia="仿宋_GB2312" w:hint="eastAsia"/>
          <w:spacing w:val="-2"/>
          <w:sz w:val="32"/>
          <w:szCs w:val="32"/>
        </w:rPr>
        <w:t>分区1区）发表新冠研究论文1篇，影响因子15.54；连续4年获得南方医科大学临床技能竞赛教师组一等奖。</w:t>
      </w:r>
    </w:p>
    <w:p w:rsidR="00144188" w:rsidRPr="001622EE" w:rsidRDefault="00BE1419" w:rsidP="001622EE">
      <w:pPr>
        <w:shd w:val="clear" w:color="auto" w:fill="FFFFFF"/>
        <w:spacing w:line="580" w:lineRule="exact"/>
        <w:ind w:firstLineChars="200" w:firstLine="632"/>
        <w:rPr>
          <w:rFonts w:ascii="仿宋_GB2312" w:eastAsia="仿宋_GB2312" w:hAnsi="宋体" w:cs="宋体"/>
          <w:spacing w:val="-2"/>
          <w:sz w:val="32"/>
          <w:szCs w:val="32"/>
        </w:rPr>
      </w:pPr>
      <w:r>
        <w:rPr>
          <w:rFonts w:ascii="仿宋_GB2312" w:eastAsia="仿宋_GB2312" w:hint="eastAsia"/>
          <w:spacing w:val="-2"/>
          <w:sz w:val="32"/>
          <w:szCs w:val="32"/>
        </w:rPr>
        <w:t>医院相继开展了器官移植（含肾移植、肝移植、心脏移植、皮肤移植等）、骨髓移植技术、干细胞治疗技术、放射粒子植入技术、射频消融治疗技术、人工耳蜗植入术、生物治疗技术、生殖医学技术、微创外科技术、内窥镜诊疗术等数十项高新技术，均达到国内领先和先进水平。拥有</w:t>
      </w:r>
      <w:r w:rsidR="0014671C">
        <w:rPr>
          <w:rFonts w:ascii="仿宋_GB2312" w:eastAsia="仿宋_GB2312" w:hint="eastAsia"/>
          <w:spacing w:val="-2"/>
          <w:sz w:val="32"/>
          <w:szCs w:val="32"/>
        </w:rPr>
        <w:t>PET</w:t>
      </w:r>
      <w:r>
        <w:rPr>
          <w:rFonts w:ascii="仿宋_GB2312" w:eastAsia="仿宋_GB2312" w:hint="eastAsia"/>
          <w:spacing w:val="-2"/>
          <w:sz w:val="32"/>
          <w:szCs w:val="32"/>
        </w:rPr>
        <w:t>-</w:t>
      </w:r>
      <w:r w:rsidR="0014671C">
        <w:rPr>
          <w:rFonts w:ascii="仿宋_GB2312" w:eastAsia="仿宋_GB2312" w:hint="eastAsia"/>
          <w:spacing w:val="-2"/>
          <w:sz w:val="32"/>
          <w:szCs w:val="32"/>
        </w:rPr>
        <w:t>CT</w:t>
      </w:r>
      <w:r>
        <w:rPr>
          <w:rFonts w:ascii="仿宋_GB2312" w:eastAsia="仿宋_GB2312" w:hint="eastAsia"/>
          <w:spacing w:val="-2"/>
          <w:sz w:val="32"/>
          <w:szCs w:val="32"/>
        </w:rPr>
        <w:t>、瓦力安等直线加速器、</w:t>
      </w:r>
      <w:r w:rsidR="0014671C">
        <w:rPr>
          <w:rFonts w:ascii="仿宋_GB2312" w:eastAsia="仿宋_GB2312" w:hint="eastAsia"/>
          <w:spacing w:val="-2"/>
          <w:sz w:val="32"/>
          <w:szCs w:val="32"/>
        </w:rPr>
        <w:t>GE</w:t>
      </w:r>
      <w:r>
        <w:rPr>
          <w:rFonts w:ascii="仿宋_GB2312" w:eastAsia="仿宋_GB2312" w:hint="eastAsia"/>
          <w:spacing w:val="-2"/>
          <w:sz w:val="32"/>
          <w:szCs w:val="32"/>
        </w:rPr>
        <w:t>3.0和</w:t>
      </w:r>
      <w:r w:rsidR="0014671C">
        <w:rPr>
          <w:rFonts w:ascii="仿宋_GB2312" w:eastAsia="仿宋_GB2312" w:hint="eastAsia"/>
          <w:spacing w:val="-2"/>
          <w:sz w:val="32"/>
          <w:szCs w:val="32"/>
        </w:rPr>
        <w:t>1.5T</w:t>
      </w:r>
      <w:r>
        <w:rPr>
          <w:rFonts w:ascii="仿宋_GB2312" w:eastAsia="仿宋_GB2312" w:hint="eastAsia"/>
          <w:spacing w:val="-2"/>
          <w:sz w:val="32"/>
          <w:szCs w:val="32"/>
        </w:rPr>
        <w:t>核磁共振、宝石能谱</w:t>
      </w:r>
      <w:r w:rsidR="0014671C">
        <w:rPr>
          <w:rFonts w:ascii="仿宋_GB2312" w:eastAsia="仿宋_GB2312" w:hint="eastAsia"/>
          <w:spacing w:val="-2"/>
          <w:sz w:val="32"/>
          <w:szCs w:val="32"/>
        </w:rPr>
        <w:t>CT</w:t>
      </w:r>
      <w:r>
        <w:rPr>
          <w:rFonts w:ascii="仿宋_GB2312" w:eastAsia="仿宋_GB2312" w:hint="eastAsia"/>
          <w:spacing w:val="-2"/>
          <w:sz w:val="32"/>
          <w:szCs w:val="32"/>
        </w:rPr>
        <w:t>、64排螺旋</w:t>
      </w:r>
      <w:r w:rsidR="0014671C">
        <w:rPr>
          <w:rFonts w:ascii="仿宋_GB2312" w:eastAsia="仿宋_GB2312" w:hint="eastAsia"/>
          <w:spacing w:val="-2"/>
          <w:sz w:val="32"/>
          <w:szCs w:val="32"/>
        </w:rPr>
        <w:t>CT</w:t>
      </w:r>
      <w:r>
        <w:rPr>
          <w:rFonts w:ascii="仿宋_GB2312" w:eastAsia="仿宋_GB2312" w:hint="eastAsia"/>
          <w:spacing w:val="-2"/>
          <w:sz w:val="32"/>
          <w:szCs w:val="32"/>
        </w:rPr>
        <w:t>、</w:t>
      </w:r>
      <w:r w:rsidR="00D11EBC">
        <w:rPr>
          <w:rFonts w:ascii="仿宋_GB2312" w:eastAsia="仿宋_GB2312" w:hint="eastAsia"/>
          <w:spacing w:val="-2"/>
          <w:sz w:val="32"/>
          <w:szCs w:val="32"/>
        </w:rPr>
        <w:t>DSA</w:t>
      </w:r>
      <w:r>
        <w:rPr>
          <w:rFonts w:ascii="仿宋_GB2312" w:eastAsia="仿宋_GB2312" w:hint="eastAsia"/>
          <w:spacing w:val="-2"/>
          <w:sz w:val="32"/>
          <w:szCs w:val="32"/>
        </w:rPr>
        <w:t>、</w:t>
      </w:r>
      <w:r w:rsidR="00D11EBC">
        <w:rPr>
          <w:rFonts w:ascii="仿宋_GB2312" w:eastAsia="仿宋_GB2312" w:hint="eastAsia"/>
          <w:spacing w:val="-2"/>
          <w:sz w:val="32"/>
          <w:szCs w:val="32"/>
        </w:rPr>
        <w:t>DR</w:t>
      </w:r>
      <w:r>
        <w:rPr>
          <w:rFonts w:ascii="仿宋_GB2312" w:eastAsia="仿宋_GB2312" w:hint="eastAsia"/>
          <w:spacing w:val="-2"/>
          <w:sz w:val="32"/>
          <w:szCs w:val="32"/>
        </w:rPr>
        <w:t>直接数字成像系统、全自动流水线（目前国内最长）生化分析仪等大型医疗设备。</w:t>
      </w:r>
      <w:r>
        <w:rPr>
          <w:rFonts w:ascii="仿宋_GB2312" w:eastAsia="仿宋_GB2312" w:hint="eastAsia"/>
          <w:spacing w:val="-2"/>
          <w:sz w:val="32"/>
          <w:szCs w:val="32"/>
        </w:rPr>
        <w:br/>
      </w:r>
      <w:r>
        <w:rPr>
          <w:rFonts w:ascii="仿宋_GB2312" w:eastAsia="仿宋_GB2312" w:hAnsi="宋体" w:cs="宋体" w:hint="eastAsia"/>
          <w:spacing w:val="-2"/>
          <w:sz w:val="32"/>
          <w:szCs w:val="32"/>
        </w:rPr>
        <w:t> </w:t>
      </w:r>
      <w:r w:rsidR="00144DF9">
        <w:rPr>
          <w:rFonts w:ascii="仿宋_GB2312" w:eastAsia="仿宋_GB2312" w:hAnsi="宋体" w:cs="宋体" w:hint="eastAsia"/>
          <w:spacing w:val="-2"/>
          <w:sz w:val="32"/>
          <w:szCs w:val="32"/>
        </w:rPr>
        <w:t xml:space="preserve">  </w:t>
      </w:r>
      <w:r>
        <w:rPr>
          <w:rFonts w:ascii="仿宋_GB2312" w:eastAsia="仿宋_GB2312" w:hint="eastAsia"/>
          <w:spacing w:val="-2"/>
          <w:sz w:val="32"/>
          <w:szCs w:val="32"/>
        </w:rPr>
        <w:t>医院秉承一切为了人民健康的宗旨，把公益性和社会效益放在首位，履行“救死扶伤，促进健康”的使命，坚持“用心做好每一件事，让每一个病人满意”的服务理念，实现“创一流医院，保万众健康”的愿景。医院先后获得全国百姓放心示范医院、全国卫生工作先进单位、全国五一劳动奖状、全国工人先锋号、全国医院管理年活动先进</w:t>
      </w:r>
      <w:r w:rsidRPr="001622EE">
        <w:rPr>
          <w:rFonts w:ascii="仿宋_GB2312" w:eastAsia="仿宋_GB2312" w:hAnsi="宋体" w:cs="宋体" w:hint="eastAsia"/>
          <w:spacing w:val="-2"/>
          <w:sz w:val="32"/>
          <w:szCs w:val="32"/>
        </w:rPr>
        <w:t>单位、湖南省质量管理奖、郴州市市长质量奖等荣誉称号。以“产业主导、全面发展”为指引，按照“一体四轮”的战略布局，坚持做“强、好、优、大”的发展思路，坚持同质化管理，差异化发展，以病人为中</w:t>
      </w:r>
      <w:r w:rsidRPr="001622EE">
        <w:rPr>
          <w:rFonts w:ascii="仿宋_GB2312" w:eastAsia="仿宋_GB2312" w:hAnsi="宋体" w:cs="宋体" w:hint="eastAsia"/>
          <w:spacing w:val="-2"/>
          <w:sz w:val="32"/>
          <w:szCs w:val="32"/>
        </w:rPr>
        <w:lastRenderedPageBreak/>
        <w:t>心，以建设成为湘南区域省级医疗中心为目标，推进医院健康可持续发展。</w:t>
      </w:r>
    </w:p>
    <w:p w:rsidR="00144188" w:rsidRPr="001622EE" w:rsidRDefault="00BE1419" w:rsidP="001622EE">
      <w:pPr>
        <w:spacing w:line="580" w:lineRule="exact"/>
        <w:ind w:firstLineChars="200" w:firstLine="632"/>
        <w:rPr>
          <w:rFonts w:ascii="仿宋_GB2312" w:eastAsia="仿宋_GB2312" w:hAnsi="宋体" w:cs="宋体"/>
          <w:spacing w:val="-2"/>
          <w:sz w:val="32"/>
          <w:szCs w:val="32"/>
        </w:rPr>
      </w:pPr>
      <w:r w:rsidRPr="001622EE">
        <w:rPr>
          <w:rFonts w:ascii="仿宋_GB2312" w:eastAsia="仿宋_GB2312" w:hAnsi="宋体" w:cs="宋体" w:hint="eastAsia"/>
          <w:spacing w:val="-2"/>
          <w:sz w:val="32"/>
          <w:szCs w:val="32"/>
        </w:rPr>
        <w:t>2．机构设置</w:t>
      </w:r>
    </w:p>
    <w:p w:rsidR="00144188" w:rsidRPr="001622EE" w:rsidRDefault="00BE1419" w:rsidP="001622EE">
      <w:pPr>
        <w:pStyle w:val="a6"/>
        <w:ind w:firstLineChars="200" w:firstLine="632"/>
        <w:rPr>
          <w:rFonts w:ascii="仿宋_GB2312" w:eastAsia="仿宋_GB2312" w:hAnsi="仿宋" w:cs="Times New Roman"/>
          <w:spacing w:val="-2"/>
          <w:kern w:val="0"/>
          <w:sz w:val="32"/>
          <w:szCs w:val="32"/>
        </w:rPr>
      </w:pPr>
      <w:r w:rsidRPr="001622EE">
        <w:rPr>
          <w:rFonts w:ascii="仿宋_GB2312" w:eastAsia="仿宋_GB2312" w:hAnsi="宋体" w:cs="宋体" w:hint="eastAsia"/>
          <w:spacing w:val="-2"/>
          <w:kern w:val="0"/>
          <w:sz w:val="32"/>
          <w:szCs w:val="32"/>
        </w:rPr>
        <w:t>郴州市第一人民医院是差额拨款的事业单位。核定编制</w:t>
      </w:r>
      <w:r w:rsidRPr="001622EE">
        <w:rPr>
          <w:rFonts w:ascii="仿宋_GB2312" w:eastAsia="仿宋_GB2312" w:hAnsi="仿宋" w:cs="Times New Roman" w:hint="eastAsia"/>
          <w:spacing w:val="-2"/>
          <w:kern w:val="0"/>
          <w:sz w:val="32"/>
          <w:szCs w:val="32"/>
        </w:rPr>
        <w:t>数3221名，差额编制1221名，自收自支2718名。郴州市第一人民医院设有中心医院、南院、北院（儿童医院）、西院（康复医院）、东院（肿瘤医院）五个医疗区及集团本部；各医疗区共有各类临床科室13</w:t>
      </w:r>
      <w:r w:rsidR="00531614">
        <w:rPr>
          <w:rFonts w:ascii="仿宋_GB2312" w:eastAsia="仿宋_GB2312" w:hAnsi="仿宋" w:cs="Times New Roman" w:hint="eastAsia"/>
          <w:spacing w:val="-2"/>
          <w:kern w:val="0"/>
          <w:sz w:val="32"/>
          <w:szCs w:val="32"/>
        </w:rPr>
        <w:t>0</w:t>
      </w:r>
      <w:r w:rsidRPr="001622EE">
        <w:rPr>
          <w:rFonts w:ascii="仿宋_GB2312" w:eastAsia="仿宋_GB2312" w:hAnsi="仿宋" w:cs="Times New Roman" w:hint="eastAsia"/>
          <w:spacing w:val="-2"/>
          <w:kern w:val="0"/>
          <w:sz w:val="32"/>
          <w:szCs w:val="32"/>
        </w:rPr>
        <w:t>个，医技科室1</w:t>
      </w:r>
      <w:r w:rsidR="00531614">
        <w:rPr>
          <w:rFonts w:ascii="仿宋_GB2312" w:eastAsia="仿宋_GB2312" w:hAnsi="仿宋" w:cs="Times New Roman" w:hint="eastAsia"/>
          <w:spacing w:val="-2"/>
          <w:kern w:val="0"/>
          <w:sz w:val="32"/>
          <w:szCs w:val="32"/>
        </w:rPr>
        <w:t>1</w:t>
      </w:r>
      <w:r w:rsidRPr="001622EE">
        <w:rPr>
          <w:rFonts w:ascii="仿宋_GB2312" w:eastAsia="仿宋_GB2312" w:hAnsi="仿宋" w:cs="Times New Roman" w:hint="eastAsia"/>
          <w:spacing w:val="-2"/>
          <w:kern w:val="0"/>
          <w:sz w:val="32"/>
          <w:szCs w:val="32"/>
        </w:rPr>
        <w:t>个，本部职能科室2</w:t>
      </w:r>
      <w:r w:rsidR="00531614">
        <w:rPr>
          <w:rFonts w:ascii="仿宋_GB2312" w:eastAsia="仿宋_GB2312" w:hAnsi="仿宋" w:cs="Times New Roman" w:hint="eastAsia"/>
          <w:spacing w:val="-2"/>
          <w:kern w:val="0"/>
          <w:sz w:val="32"/>
          <w:szCs w:val="32"/>
        </w:rPr>
        <w:t>0</w:t>
      </w:r>
      <w:r w:rsidRPr="001622EE">
        <w:rPr>
          <w:rFonts w:ascii="仿宋_GB2312" w:eastAsia="仿宋_GB2312" w:hAnsi="仿宋" w:cs="Times New Roman" w:hint="eastAsia"/>
          <w:spacing w:val="-2"/>
          <w:kern w:val="0"/>
          <w:sz w:val="32"/>
          <w:szCs w:val="32"/>
        </w:rPr>
        <w:t>个。</w:t>
      </w:r>
    </w:p>
    <w:p w:rsidR="00144188" w:rsidRPr="001622EE" w:rsidRDefault="00BE1419" w:rsidP="001622EE">
      <w:pPr>
        <w:pStyle w:val="a5"/>
        <w:spacing w:line="550" w:lineRule="exact"/>
        <w:ind w:firstLine="632"/>
        <w:rPr>
          <w:rFonts w:ascii="仿宋_GB2312" w:eastAsia="仿宋_GB2312" w:hAnsi="仿宋"/>
          <w:spacing w:val="-2"/>
          <w:sz w:val="32"/>
          <w:szCs w:val="32"/>
        </w:rPr>
      </w:pPr>
      <w:r w:rsidRPr="001622EE">
        <w:rPr>
          <w:rFonts w:ascii="仿宋_GB2312" w:eastAsia="仿宋_GB2312" w:hAnsi="仿宋"/>
          <w:spacing w:val="-2"/>
          <w:sz w:val="32"/>
          <w:szCs w:val="32"/>
        </w:rPr>
        <w:t>二、一般公共预算支出情况</w:t>
      </w:r>
    </w:p>
    <w:p w:rsidR="00144188" w:rsidRDefault="00BE1419">
      <w:pPr>
        <w:pStyle w:val="a5"/>
        <w:spacing w:line="550" w:lineRule="exact"/>
        <w:ind w:firstLine="640"/>
        <w:rPr>
          <w:rFonts w:ascii="Times New Roman" w:eastAsia="仿宋_GB2312" w:hAnsi="Times New Roman"/>
          <w:b/>
          <w:sz w:val="32"/>
          <w:szCs w:val="32"/>
        </w:rPr>
      </w:pPr>
      <w:r>
        <w:rPr>
          <w:rFonts w:ascii="Times New Roman" w:eastAsia="仿宋_GB2312" w:hAnsi="Times New Roman"/>
          <w:b/>
          <w:sz w:val="32"/>
          <w:szCs w:val="32"/>
        </w:rPr>
        <w:t>（一）基本支出</w:t>
      </w:r>
      <w:bookmarkStart w:id="0" w:name="_GoBack"/>
      <w:bookmarkEnd w:id="0"/>
      <w:r>
        <w:rPr>
          <w:rFonts w:ascii="Times New Roman" w:eastAsia="仿宋_GB2312" w:hAnsi="Times New Roman"/>
          <w:b/>
          <w:sz w:val="32"/>
          <w:szCs w:val="32"/>
        </w:rPr>
        <w:t>情况</w:t>
      </w:r>
    </w:p>
    <w:p w:rsidR="00144188" w:rsidRDefault="000272F2">
      <w:pPr>
        <w:shd w:val="clear" w:color="auto" w:fill="FFFFFF"/>
        <w:spacing w:line="580" w:lineRule="exact"/>
        <w:ind w:firstLine="643"/>
        <w:rPr>
          <w:rFonts w:ascii="仿宋_GB2312" w:eastAsia="仿宋_GB2312"/>
          <w:color w:val="000000"/>
          <w:spacing w:val="-2"/>
          <w:sz w:val="32"/>
          <w:szCs w:val="32"/>
        </w:rPr>
      </w:pPr>
      <w:r>
        <w:rPr>
          <w:rFonts w:ascii="仿宋_GB2312" w:eastAsia="仿宋_GB2312" w:hint="eastAsia"/>
          <w:color w:val="000000"/>
          <w:spacing w:val="-2"/>
          <w:sz w:val="32"/>
          <w:szCs w:val="32"/>
          <w:shd w:val="clear" w:color="auto" w:fill="FFFFFF"/>
        </w:rPr>
        <w:fldChar w:fldCharType="begin">
          <w:fldData xml:space="preserve">RAA2ADYANAA4ADIAMwBDADcAMQA1ADgANABEADcANAA5AEIAMwA1ADAAOABCAEEAQQBCADMAQgBG
AEIARgAyAA==
</w:fldData>
        </w:fldChar>
      </w:r>
      <w:r w:rsidR="00BE1419">
        <w:rPr>
          <w:rFonts w:ascii="仿宋_GB2312" w:eastAsia="仿宋_GB2312" w:hint="eastAsia"/>
          <w:color w:val="000000"/>
          <w:spacing w:val="-2"/>
          <w:sz w:val="32"/>
          <w:szCs w:val="32"/>
          <w:shd w:val="clear" w:color="auto" w:fill="FFFFFF"/>
        </w:rPr>
        <w:instrText>Addin 基本支出</w:instrText>
      </w:r>
      <w:r>
        <w:rPr>
          <w:rFonts w:ascii="仿宋_GB2312" w:eastAsia="仿宋_GB2312" w:hint="eastAsia"/>
          <w:color w:val="000000"/>
          <w:spacing w:val="-2"/>
          <w:sz w:val="32"/>
          <w:szCs w:val="32"/>
          <w:shd w:val="clear" w:color="auto" w:fill="FFFFFF"/>
        </w:rPr>
      </w:r>
      <w:r>
        <w:rPr>
          <w:rFonts w:ascii="仿宋_GB2312" w:eastAsia="仿宋_GB2312" w:hint="eastAsia"/>
          <w:color w:val="000000"/>
          <w:spacing w:val="-2"/>
          <w:sz w:val="32"/>
          <w:szCs w:val="32"/>
          <w:shd w:val="clear" w:color="auto" w:fill="FFFFFF"/>
        </w:rPr>
        <w:fldChar w:fldCharType="separate"/>
      </w:r>
      <w:r w:rsidR="00BE1419">
        <w:rPr>
          <w:rFonts w:ascii="仿宋_GB2312" w:eastAsia="仿宋_GB2312" w:hint="eastAsia"/>
          <w:color w:val="000000"/>
          <w:spacing w:val="-2"/>
          <w:sz w:val="32"/>
          <w:szCs w:val="32"/>
          <w:shd w:val="clear" w:color="FFFFFF" w:fill="FFFFFF"/>
        </w:rPr>
        <w:t>本年度一般公共预算财政拨款基本支出年初预算2300万元，本年决算完成支出2300万元，主要用于事业单位差额编制在职人员基本工资、社保养老保险、综合绩效奖等人员经费。</w:t>
      </w:r>
      <w:r>
        <w:rPr>
          <w:rFonts w:ascii="仿宋_GB2312" w:eastAsia="仿宋_GB2312" w:hint="eastAsia"/>
          <w:color w:val="000000"/>
          <w:spacing w:val="-2"/>
          <w:sz w:val="32"/>
          <w:szCs w:val="32"/>
          <w:shd w:val="clear" w:color="auto" w:fill="FFFFFF"/>
        </w:rPr>
        <w:fldChar w:fldCharType="end"/>
      </w:r>
      <w:r w:rsidR="00BE1419">
        <w:rPr>
          <w:rFonts w:ascii="仿宋_GB2312" w:eastAsia="仿宋_GB2312" w:hint="eastAsia"/>
          <w:color w:val="000000"/>
          <w:spacing w:val="-2"/>
          <w:sz w:val="32"/>
          <w:szCs w:val="32"/>
          <w:shd w:val="clear" w:color="auto" w:fill="FFFFFF"/>
        </w:rPr>
        <w:t>2021年度一般公共预算财政拨款基本支出占一般公共预算财政拨款支出的32.94%，与去年持平。</w:t>
      </w:r>
    </w:p>
    <w:p w:rsidR="00144188" w:rsidRDefault="00BE1419">
      <w:pPr>
        <w:pStyle w:val="a5"/>
        <w:spacing w:line="550" w:lineRule="exact"/>
        <w:ind w:firstLine="640"/>
        <w:rPr>
          <w:rFonts w:ascii="Times New Roman" w:eastAsia="仿宋_GB2312" w:hAnsi="Times New Roman"/>
          <w:b/>
          <w:sz w:val="32"/>
          <w:szCs w:val="32"/>
        </w:rPr>
      </w:pPr>
      <w:r>
        <w:rPr>
          <w:rFonts w:ascii="Times New Roman" w:eastAsia="仿宋_GB2312" w:hAnsi="Times New Roman"/>
          <w:b/>
          <w:sz w:val="32"/>
          <w:szCs w:val="32"/>
        </w:rPr>
        <w:t>（二）项目支出情况</w:t>
      </w:r>
    </w:p>
    <w:p w:rsidR="00144188" w:rsidRDefault="000272F2">
      <w:pPr>
        <w:pStyle w:val="a5"/>
        <w:spacing w:line="550" w:lineRule="exact"/>
        <w:ind w:firstLine="640"/>
        <w:rPr>
          <w:rFonts w:ascii="仿宋_GB2312" w:eastAsia="仿宋_GB2312" w:hAnsi="Times New Roman"/>
          <w:sz w:val="32"/>
          <w:szCs w:val="32"/>
        </w:rPr>
      </w:pPr>
      <w:r>
        <w:rPr>
          <w:rFonts w:ascii="仿宋_GB2312" w:eastAsia="仿宋_GB2312" w:hint="eastAsia"/>
          <w:color w:val="000000"/>
          <w:spacing w:val="-2"/>
          <w:sz w:val="32"/>
          <w:szCs w:val="32"/>
          <w:shd w:val="clear" w:color="FFFFFF" w:fill="FFFFFF"/>
        </w:rPr>
        <w:fldChar w:fldCharType="begin">
          <w:fldData xml:space="preserve">OAAyADQANgBBADAAQgA5ADYARAA1AEUANAA3ADYAOAA5ADkARQA5AEYANgBGADYARABEAEMAQwAz
ADYAMAA1AA==
</w:fldData>
        </w:fldChar>
      </w:r>
      <w:r w:rsidR="00BE1419">
        <w:rPr>
          <w:rFonts w:ascii="仿宋_GB2312" w:eastAsia="仿宋_GB2312" w:hint="eastAsia"/>
          <w:color w:val="000000"/>
          <w:spacing w:val="-2"/>
          <w:sz w:val="32"/>
          <w:szCs w:val="32"/>
          <w:shd w:val="clear" w:color="FFFFFF" w:fill="FFFFFF"/>
        </w:rPr>
        <w:instrText>Addin 项目支出</w:instrText>
      </w:r>
      <w:r>
        <w:rPr>
          <w:rFonts w:ascii="仿宋_GB2312" w:eastAsia="仿宋_GB2312" w:hint="eastAsia"/>
          <w:color w:val="000000"/>
          <w:spacing w:val="-2"/>
          <w:sz w:val="32"/>
          <w:szCs w:val="32"/>
          <w:shd w:val="clear" w:color="FFFFFF" w:fill="FFFFFF"/>
        </w:rPr>
      </w:r>
      <w:r>
        <w:rPr>
          <w:rFonts w:ascii="仿宋_GB2312" w:eastAsia="仿宋_GB2312" w:hint="eastAsia"/>
          <w:color w:val="000000"/>
          <w:spacing w:val="-2"/>
          <w:sz w:val="32"/>
          <w:szCs w:val="32"/>
          <w:shd w:val="clear" w:color="FFFFFF" w:fill="FFFFFF"/>
        </w:rPr>
        <w:fldChar w:fldCharType="separate"/>
      </w:r>
      <w:r w:rsidR="00BE1419">
        <w:rPr>
          <w:rFonts w:ascii="仿宋_GB2312" w:eastAsia="仿宋_GB2312" w:hint="eastAsia"/>
          <w:color w:val="000000"/>
          <w:spacing w:val="-2"/>
          <w:sz w:val="32"/>
          <w:szCs w:val="32"/>
          <w:shd w:val="clear" w:color="FFFFFF" w:fill="FFFFFF"/>
        </w:rPr>
        <w:t>本年度一般公共预算财政项目补助支出年初预算1178万元，本年预算调整数4683.13万元，本年决算支出4683.13万元。系单位为完成政府特定行政工作任务而发生的支出，包括：公立医院药品零差率补助、孕产妇免费基因检测、住院医师培训、公立医院改革补助、医联体建设、流感监测、卫生对口支援、高层次卫生人才工程、慢性非传染病防治等经费。</w:t>
      </w:r>
      <w:r>
        <w:rPr>
          <w:rFonts w:ascii="仿宋_GB2312" w:eastAsia="仿宋_GB2312" w:hint="eastAsia"/>
          <w:color w:val="000000"/>
          <w:spacing w:val="-2"/>
          <w:sz w:val="32"/>
          <w:szCs w:val="32"/>
          <w:shd w:val="clear" w:color="FFFFFF" w:fill="FFFFFF"/>
        </w:rPr>
        <w:fldChar w:fldCharType="end"/>
      </w:r>
      <w:r w:rsidR="00BE1419">
        <w:rPr>
          <w:rFonts w:ascii="仿宋_GB2312" w:eastAsia="仿宋_GB2312" w:hint="eastAsia"/>
          <w:color w:val="000000"/>
          <w:spacing w:val="-2"/>
          <w:sz w:val="32"/>
          <w:szCs w:val="32"/>
          <w:shd w:val="clear" w:color="auto" w:fill="FFFFFF"/>
        </w:rPr>
        <w:t>2021年度一般公共预算财政拨款项目支出占一般公共</w:t>
      </w:r>
      <w:r w:rsidR="00BE1419">
        <w:rPr>
          <w:rFonts w:ascii="仿宋_GB2312" w:eastAsia="仿宋_GB2312" w:hint="eastAsia"/>
          <w:color w:val="000000"/>
          <w:spacing w:val="-2"/>
          <w:sz w:val="32"/>
          <w:szCs w:val="32"/>
          <w:shd w:val="clear" w:color="auto" w:fill="FFFFFF"/>
        </w:rPr>
        <w:lastRenderedPageBreak/>
        <w:t>预算财政拨款支出的67.06%，同比去年减少2303.39万元，主要系去年因疫情突发公共卫生事件项目财政拨款增加。</w:t>
      </w:r>
    </w:p>
    <w:p w:rsidR="00144188" w:rsidRDefault="00BE1419">
      <w:pPr>
        <w:pStyle w:val="a5"/>
        <w:spacing w:line="550" w:lineRule="exact"/>
        <w:ind w:firstLine="643"/>
        <w:jc w:val="left"/>
        <w:rPr>
          <w:rFonts w:ascii="Times New Roman" w:eastAsia="黑体" w:hAnsi="Times New Roman"/>
          <w:b/>
          <w:sz w:val="32"/>
          <w:szCs w:val="32"/>
        </w:rPr>
      </w:pPr>
      <w:r>
        <w:rPr>
          <w:rFonts w:ascii="Times New Roman" w:eastAsia="黑体" w:hAnsi="Times New Roman"/>
          <w:b/>
          <w:sz w:val="32"/>
          <w:szCs w:val="32"/>
        </w:rPr>
        <w:t>三、政府性基金预算支出情况</w:t>
      </w:r>
    </w:p>
    <w:p w:rsidR="00144188" w:rsidRDefault="00BE1419">
      <w:pPr>
        <w:pStyle w:val="a5"/>
        <w:spacing w:line="550" w:lineRule="exact"/>
        <w:ind w:firstLine="632"/>
        <w:jc w:val="left"/>
        <w:rPr>
          <w:rFonts w:ascii="仿宋_GB2312" w:eastAsia="仿宋_GB2312" w:hAnsi="Times New Roman"/>
          <w:sz w:val="32"/>
          <w:szCs w:val="32"/>
        </w:rPr>
      </w:pPr>
      <w:r>
        <w:rPr>
          <w:rFonts w:ascii="仿宋_GB2312" w:eastAsia="仿宋_GB2312" w:hint="eastAsia"/>
          <w:spacing w:val="-2"/>
          <w:sz w:val="32"/>
          <w:szCs w:val="32"/>
        </w:rPr>
        <w:t>政府性基金预算支出主要指用于年初部门预算以外的项目或年中追加项目。</w:t>
      </w:r>
      <w:r w:rsidR="000272F2">
        <w:rPr>
          <w:rFonts w:ascii="仿宋_GB2312" w:eastAsia="仿宋_GB2312" w:hint="eastAsia"/>
          <w:color w:val="000000"/>
          <w:spacing w:val="-2"/>
          <w:sz w:val="32"/>
          <w:szCs w:val="32"/>
          <w:shd w:val="clear" w:color="auto" w:fill="FFFFFF"/>
        </w:rPr>
        <w:fldChar w:fldCharType="begin">
          <w:fldData xml:space="preserve">NQBGAEYAQwA2AEMANgBDADQAQgA0AEUANABBADMARABCADMANAA5AEUAMwBCAEMANgBGADQANQBE
AEMANwBGAA==
</w:fldData>
        </w:fldChar>
      </w:r>
      <w:r>
        <w:rPr>
          <w:rFonts w:ascii="仿宋_GB2312" w:eastAsia="仿宋_GB2312" w:hint="eastAsia"/>
          <w:color w:val="000000"/>
          <w:spacing w:val="-2"/>
          <w:sz w:val="32"/>
          <w:szCs w:val="32"/>
          <w:shd w:val="clear" w:color="auto" w:fill="FFFFFF"/>
        </w:rPr>
        <w:instrText>Addin 组织情况分析</w:instrText>
      </w:r>
      <w:r w:rsidR="000272F2">
        <w:rPr>
          <w:rFonts w:ascii="仿宋_GB2312" w:eastAsia="仿宋_GB2312" w:hint="eastAsia"/>
          <w:color w:val="000000"/>
          <w:spacing w:val="-2"/>
          <w:sz w:val="32"/>
          <w:szCs w:val="32"/>
          <w:shd w:val="clear" w:color="auto" w:fill="FFFFFF"/>
        </w:rPr>
      </w:r>
      <w:r w:rsidR="000272F2">
        <w:rPr>
          <w:rFonts w:ascii="仿宋_GB2312" w:eastAsia="仿宋_GB2312" w:hint="eastAsia"/>
          <w:color w:val="000000"/>
          <w:spacing w:val="-2"/>
          <w:sz w:val="32"/>
          <w:szCs w:val="32"/>
          <w:shd w:val="clear" w:color="auto" w:fill="FFFFFF"/>
        </w:rPr>
        <w:fldChar w:fldCharType="separate"/>
      </w:r>
      <w:r>
        <w:rPr>
          <w:rFonts w:ascii="仿宋_GB2312" w:eastAsia="仿宋_GB2312" w:hint="eastAsia"/>
          <w:color w:val="000000"/>
          <w:spacing w:val="-2"/>
          <w:sz w:val="32"/>
          <w:szCs w:val="32"/>
          <w:shd w:val="clear" w:color="FFFFFF" w:fill="FFFFFF"/>
        </w:rPr>
        <w:t>财政共下拨资金3505.37万元，其中基本支出补助0万元，项目支出补助3505.37万元。</w:t>
      </w:r>
      <w:r w:rsidR="000272F2">
        <w:rPr>
          <w:rFonts w:ascii="仿宋_GB2312" w:eastAsia="仿宋_GB2312" w:hint="eastAsia"/>
          <w:color w:val="000000"/>
          <w:spacing w:val="-2"/>
          <w:sz w:val="32"/>
          <w:szCs w:val="32"/>
          <w:shd w:val="clear" w:color="auto" w:fill="FFFFFF"/>
        </w:rPr>
        <w:fldChar w:fldCharType="end"/>
      </w:r>
      <w:r>
        <w:rPr>
          <w:rFonts w:ascii="仿宋_GB2312" w:eastAsia="仿宋_GB2312" w:hint="eastAsia"/>
          <w:color w:val="000000"/>
          <w:spacing w:val="-2"/>
          <w:sz w:val="32"/>
          <w:szCs w:val="32"/>
          <w:shd w:val="clear" w:color="auto" w:fill="FFFFFF"/>
        </w:rPr>
        <w:t>主要是第二批专项债券（市第一人民医院省级区域医疗中心（一期）建设项目）562.02万元，2021年第一批专项债券（第一人民医院感染性疾病楼）2800万元，重点人群核酸检测费用143.35万元。</w:t>
      </w:r>
    </w:p>
    <w:p w:rsidR="00144188" w:rsidRDefault="00BE1419">
      <w:pPr>
        <w:pStyle w:val="a5"/>
        <w:spacing w:line="550" w:lineRule="exact"/>
        <w:ind w:firstLine="643"/>
        <w:jc w:val="left"/>
        <w:rPr>
          <w:rFonts w:ascii="Times New Roman" w:eastAsia="黑体" w:hAnsi="Times New Roman"/>
          <w:b/>
          <w:sz w:val="32"/>
          <w:szCs w:val="32"/>
        </w:rPr>
      </w:pPr>
      <w:r>
        <w:rPr>
          <w:rFonts w:ascii="Times New Roman" w:eastAsia="黑体" w:hAnsi="Times New Roman"/>
          <w:b/>
          <w:sz w:val="32"/>
          <w:szCs w:val="32"/>
        </w:rPr>
        <w:t>四、国有资本经营预算支出情况</w:t>
      </w:r>
    </w:p>
    <w:p w:rsidR="00144188" w:rsidRDefault="00BE1419">
      <w:pPr>
        <w:pStyle w:val="a5"/>
        <w:spacing w:line="550" w:lineRule="exact"/>
        <w:ind w:firstLine="640"/>
        <w:jc w:val="left"/>
        <w:rPr>
          <w:rFonts w:ascii="仿宋_GB2312" w:eastAsia="仿宋_GB2312" w:hAnsi="Times New Roman"/>
          <w:sz w:val="32"/>
          <w:szCs w:val="32"/>
        </w:rPr>
      </w:pPr>
      <w:r>
        <w:rPr>
          <w:rFonts w:ascii="仿宋_GB2312" w:eastAsia="仿宋_GB2312" w:hAnsi="Times New Roman" w:hint="eastAsia"/>
          <w:sz w:val="32"/>
          <w:szCs w:val="32"/>
        </w:rPr>
        <w:t>我单位2021年无国有资本经营预算支出。</w:t>
      </w:r>
    </w:p>
    <w:p w:rsidR="00144188" w:rsidRDefault="00BE1419">
      <w:pPr>
        <w:pStyle w:val="a5"/>
        <w:spacing w:line="550" w:lineRule="exact"/>
        <w:ind w:firstLine="643"/>
        <w:jc w:val="left"/>
        <w:rPr>
          <w:rFonts w:ascii="Times New Roman" w:eastAsia="黑体" w:hAnsi="Times New Roman"/>
          <w:b/>
          <w:sz w:val="32"/>
          <w:szCs w:val="32"/>
        </w:rPr>
      </w:pPr>
      <w:r>
        <w:rPr>
          <w:rFonts w:ascii="Times New Roman" w:eastAsia="黑体" w:hAnsi="Times New Roman"/>
          <w:b/>
          <w:sz w:val="32"/>
          <w:szCs w:val="32"/>
        </w:rPr>
        <w:t>五、社会保险基金预算支出情况</w:t>
      </w:r>
    </w:p>
    <w:p w:rsidR="00144188" w:rsidRDefault="00BE1419">
      <w:pPr>
        <w:pStyle w:val="a5"/>
        <w:spacing w:line="550" w:lineRule="exact"/>
        <w:ind w:firstLine="640"/>
        <w:jc w:val="left"/>
        <w:rPr>
          <w:rFonts w:ascii="仿宋_GB2312" w:eastAsia="仿宋_GB2312" w:hAnsi="Times New Roman"/>
          <w:sz w:val="32"/>
          <w:szCs w:val="32"/>
        </w:rPr>
      </w:pPr>
      <w:r>
        <w:rPr>
          <w:rFonts w:ascii="仿宋_GB2312" w:eastAsia="仿宋_GB2312" w:hAnsi="Times New Roman" w:hint="eastAsia"/>
          <w:sz w:val="32"/>
          <w:szCs w:val="32"/>
        </w:rPr>
        <w:t>我单位2021年无社会保险基金预算支出。</w:t>
      </w:r>
    </w:p>
    <w:p w:rsidR="00144188" w:rsidRDefault="00BE1419">
      <w:pPr>
        <w:spacing w:line="550" w:lineRule="exact"/>
        <w:ind w:firstLine="645"/>
        <w:jc w:val="left"/>
        <w:rPr>
          <w:rFonts w:ascii="Times New Roman" w:eastAsia="黑体" w:hAnsi="Times New Roman"/>
          <w:b/>
          <w:sz w:val="32"/>
          <w:szCs w:val="32"/>
        </w:rPr>
      </w:pPr>
      <w:r>
        <w:rPr>
          <w:rFonts w:ascii="Times New Roman" w:eastAsia="黑体" w:hAnsi="Times New Roman"/>
          <w:b/>
          <w:sz w:val="32"/>
          <w:szCs w:val="32"/>
        </w:rPr>
        <w:t>六、部门整体支出绩效情况</w:t>
      </w:r>
    </w:p>
    <w:p w:rsidR="00144188" w:rsidRDefault="00BE1419">
      <w:pPr>
        <w:spacing w:line="520" w:lineRule="exact"/>
        <w:ind w:firstLineChars="230" w:firstLine="736"/>
        <w:rPr>
          <w:rFonts w:ascii="仿宋_GB2312" w:eastAsia="仿宋_GB2312" w:hAnsiTheme="minorEastAsia"/>
          <w:sz w:val="32"/>
          <w:szCs w:val="32"/>
        </w:rPr>
      </w:pPr>
      <w:r>
        <w:rPr>
          <w:rFonts w:ascii="仿宋_GB2312" w:eastAsia="仿宋_GB2312" w:hAnsi="Times New Roman" w:hint="eastAsia"/>
          <w:sz w:val="32"/>
          <w:szCs w:val="32"/>
        </w:rPr>
        <w:t>1、</w:t>
      </w:r>
      <w:r>
        <w:rPr>
          <w:rFonts w:ascii="仿宋_GB2312" w:eastAsia="仿宋_GB2312" w:hAnsiTheme="minorEastAsia" w:hint="eastAsia"/>
          <w:sz w:val="32"/>
          <w:szCs w:val="32"/>
        </w:rPr>
        <w:t>2021年是“十四五”开局之年。医院进一步推进“同质化管理，差异化发展”的集团化管理模式，随着东院医疗区肿瘤专科正常运行，南院五官学科设置逐步完善，五个医疗区运营基本成熟。2021年7月郴州市康养中心试营业，“一体四轮一中心”发展格局全面形成。2021年省市卫生健康委批准成立郴州市第一人民医院城市医疗集团，市政府批准成立中国（湖南）自由贸易试验区郴州医院，省级区域医疗中心基础设施建设正式启动，获批国家卫健委加速康复外科骨科试点医院，优质护理服务病房覆盖率100%，医院进入新的发展建设阶段。</w:t>
      </w:r>
    </w:p>
    <w:p w:rsidR="00144188" w:rsidRDefault="00BE1419">
      <w:pPr>
        <w:shd w:val="clear" w:color="auto" w:fill="FFFFFF"/>
        <w:spacing w:line="580" w:lineRule="exact"/>
        <w:ind w:firstLineChars="200" w:firstLine="632"/>
        <w:rPr>
          <w:rFonts w:ascii="仿宋_GB2312" w:eastAsia="仿宋_GB2312"/>
          <w:color w:val="000000"/>
          <w:spacing w:val="-2"/>
          <w:sz w:val="32"/>
          <w:szCs w:val="32"/>
        </w:rPr>
      </w:pPr>
      <w:r>
        <w:rPr>
          <w:rFonts w:ascii="仿宋_GB2312" w:eastAsia="仿宋_GB2312" w:hint="eastAsia"/>
          <w:color w:val="000000"/>
          <w:spacing w:val="-2"/>
          <w:sz w:val="32"/>
          <w:szCs w:val="32"/>
          <w:shd w:val="clear" w:color="auto" w:fill="FFFFFF"/>
        </w:rPr>
        <w:lastRenderedPageBreak/>
        <w:t>2、</w:t>
      </w:r>
      <w:r w:rsidR="000272F2">
        <w:rPr>
          <w:rFonts w:ascii="仿宋_GB2312" w:eastAsia="仿宋_GB2312" w:hint="eastAsia"/>
          <w:color w:val="000000"/>
          <w:spacing w:val="-2"/>
          <w:sz w:val="32"/>
          <w:szCs w:val="32"/>
          <w:shd w:val="clear" w:color="auto" w:fill="FFFFFF"/>
        </w:rPr>
        <w:fldChar w:fldCharType="begin">
          <w:fldData xml:space="preserve">RgAyAEUANgAxAEEAMgA1ADEARQBFADMANAA0AEYAMwA4ADYAMABEADcAQwBCADAANgAwADcAQgBF
AEUARQBFAA==
</w:fldData>
        </w:fldChar>
      </w:r>
      <w:r>
        <w:rPr>
          <w:rFonts w:ascii="仿宋_GB2312" w:eastAsia="仿宋_GB2312" w:hint="eastAsia"/>
          <w:color w:val="000000"/>
          <w:spacing w:val="-2"/>
          <w:sz w:val="32"/>
          <w:szCs w:val="32"/>
          <w:shd w:val="clear" w:color="auto" w:fill="FFFFFF"/>
        </w:rPr>
        <w:instrText>Addin 资产管理情况</w:instrText>
      </w:r>
      <w:r w:rsidR="000272F2">
        <w:rPr>
          <w:rFonts w:ascii="仿宋_GB2312" w:eastAsia="仿宋_GB2312" w:hint="eastAsia"/>
          <w:color w:val="000000"/>
          <w:spacing w:val="-2"/>
          <w:sz w:val="32"/>
          <w:szCs w:val="32"/>
          <w:shd w:val="clear" w:color="auto" w:fill="FFFFFF"/>
        </w:rPr>
      </w:r>
      <w:r w:rsidR="000272F2">
        <w:rPr>
          <w:rFonts w:ascii="仿宋_GB2312" w:eastAsia="仿宋_GB2312" w:hint="eastAsia"/>
          <w:color w:val="000000"/>
          <w:spacing w:val="-2"/>
          <w:sz w:val="32"/>
          <w:szCs w:val="32"/>
          <w:shd w:val="clear" w:color="auto" w:fill="FFFFFF"/>
        </w:rPr>
        <w:fldChar w:fldCharType="separate"/>
      </w:r>
      <w:r>
        <w:rPr>
          <w:rFonts w:ascii="仿宋_GB2312" w:eastAsia="仿宋_GB2312" w:hint="eastAsia"/>
          <w:color w:val="000000"/>
          <w:spacing w:val="-2"/>
          <w:sz w:val="32"/>
          <w:szCs w:val="32"/>
          <w:shd w:val="clear" w:color="FFFFFF" w:fill="FFFFFF"/>
        </w:rPr>
        <w:t>本年度部门实现总资产373711万元，较上年增长11.32%；其中流动资产98970万元，非流动资产274741万元；其中固定资产总值260846万元，其中房屋建筑物193342万元，面积603503.97平方米，医疗专用设备56732万元。</w:t>
      </w:r>
      <w:r w:rsidR="000272F2">
        <w:rPr>
          <w:rFonts w:ascii="仿宋_GB2312" w:eastAsia="仿宋_GB2312" w:hint="eastAsia"/>
          <w:color w:val="000000"/>
          <w:spacing w:val="-2"/>
          <w:sz w:val="32"/>
          <w:szCs w:val="32"/>
          <w:shd w:val="clear" w:color="auto" w:fill="FFFFFF"/>
        </w:rPr>
        <w:fldChar w:fldCharType="end"/>
      </w:r>
    </w:p>
    <w:p w:rsidR="00144188" w:rsidRDefault="000272F2">
      <w:pPr>
        <w:shd w:val="clear" w:color="auto" w:fill="FFFFFF"/>
        <w:spacing w:line="580" w:lineRule="exact"/>
        <w:ind w:firstLine="640"/>
        <w:rPr>
          <w:rFonts w:ascii="仿宋_GB2312" w:eastAsia="仿宋_GB2312"/>
          <w:color w:val="000000"/>
          <w:spacing w:val="-2"/>
          <w:sz w:val="32"/>
          <w:szCs w:val="32"/>
          <w:shd w:val="clear" w:color="FFFFFF" w:fill="FFFFFF"/>
        </w:rPr>
      </w:pPr>
      <w:r w:rsidRPr="000272F2">
        <w:rPr>
          <w:rFonts w:ascii="仿宋_GB2312" w:eastAsia="仿宋_GB2312" w:hint="eastAsia"/>
          <w:color w:val="000000"/>
          <w:spacing w:val="-2"/>
          <w:sz w:val="32"/>
          <w:szCs w:val="32"/>
          <w:shd w:val="clear" w:color="auto" w:fill="FFFFFF"/>
        </w:rPr>
        <w:fldChar w:fldCharType="begin">
          <w:fldData xml:space="preserve">OAAwADMANQA2ADAAQQAyAEEAMQA4ADEANABGAEYAOABBADQANgA2ADIARAA4ADAAOAA5ADMAMwBG
AEIANQAyAA==
</w:fldData>
        </w:fldChar>
      </w:r>
      <w:r w:rsidR="00BE1419">
        <w:rPr>
          <w:rFonts w:ascii="仿宋_GB2312" w:eastAsia="仿宋_GB2312" w:hint="eastAsia"/>
          <w:color w:val="000000"/>
          <w:spacing w:val="-2"/>
          <w:sz w:val="32"/>
          <w:szCs w:val="32"/>
          <w:shd w:val="clear" w:color="auto" w:fill="FFFFFF"/>
        </w:rPr>
        <w:instrText>Addin 部门整体支出绩效情况</w:instrText>
      </w:r>
      <w:r w:rsidRPr="000272F2">
        <w:rPr>
          <w:rFonts w:ascii="仿宋_GB2312" w:eastAsia="仿宋_GB2312" w:hint="eastAsia"/>
          <w:color w:val="000000"/>
          <w:spacing w:val="-2"/>
          <w:sz w:val="32"/>
          <w:szCs w:val="32"/>
          <w:shd w:val="clear" w:color="auto" w:fill="FFFFFF"/>
        </w:rPr>
      </w:r>
      <w:r w:rsidRPr="000272F2">
        <w:rPr>
          <w:rFonts w:ascii="仿宋_GB2312" w:eastAsia="仿宋_GB2312" w:hint="eastAsia"/>
          <w:color w:val="000000"/>
          <w:spacing w:val="-2"/>
          <w:sz w:val="32"/>
          <w:szCs w:val="32"/>
          <w:shd w:val="clear" w:color="auto" w:fill="FFFFFF"/>
        </w:rPr>
        <w:fldChar w:fldCharType="separate"/>
      </w:r>
      <w:r w:rsidR="00BE1419">
        <w:rPr>
          <w:rFonts w:ascii="仿宋_GB2312" w:eastAsia="仿宋_GB2312" w:hint="eastAsia"/>
          <w:color w:val="000000"/>
          <w:spacing w:val="-2"/>
          <w:sz w:val="32"/>
          <w:szCs w:val="32"/>
          <w:shd w:val="clear" w:color="auto" w:fill="FFFFFF"/>
        </w:rPr>
        <w:t>3</w:t>
      </w:r>
      <w:r w:rsidR="00BE1419">
        <w:rPr>
          <w:rFonts w:ascii="仿宋_GB2312" w:eastAsia="仿宋_GB2312" w:hint="eastAsia"/>
          <w:color w:val="000000"/>
          <w:spacing w:val="-2"/>
          <w:sz w:val="32"/>
          <w:szCs w:val="32"/>
          <w:shd w:val="clear" w:color="FFFFFF" w:fill="FFFFFF"/>
        </w:rPr>
        <w:t>、全年实现部门整体收入330609万元，比上年增加11.78%，部门整体支出完成329522万元，其中人员经费支出111972万元，公用经费支出209361万元；实现收支结余1088万元。结余率0.33%，实现全年收支平衡略有结余，其中医疗结余200.11万元。全年完成出院人数142622人次，比上年减少9.23%，病床周转次数7.78次，出院病人评价住院日9.08天，每职工平均完成住院床日79.46床日；门急诊人数2484379人次，比上年增加16.38%；每职工平均完成门急诊人次176.53人次；全年完成手术台次5.11万台；实现医疗收入318933万元，比上年增加12.12%，其中门诊收入103259万元，住院收入215674万元。</w:t>
      </w:r>
    </w:p>
    <w:p w:rsidR="00144188" w:rsidRDefault="00BE1419">
      <w:pPr>
        <w:shd w:val="clear" w:color="auto" w:fill="FFFFFF"/>
        <w:spacing w:line="580" w:lineRule="exact"/>
        <w:ind w:firstLine="640"/>
        <w:rPr>
          <w:rFonts w:ascii="仿宋_GB2312" w:eastAsia="仿宋_GB2312"/>
          <w:color w:val="000000"/>
          <w:spacing w:val="-2"/>
          <w:sz w:val="32"/>
          <w:szCs w:val="32"/>
          <w:shd w:val="clear" w:color="FFFFFF" w:fill="FFFFFF"/>
        </w:rPr>
      </w:pPr>
      <w:r>
        <w:rPr>
          <w:rFonts w:ascii="仿宋_GB2312" w:eastAsia="仿宋_GB2312" w:hint="eastAsia"/>
          <w:color w:val="000000"/>
          <w:spacing w:val="-2"/>
          <w:sz w:val="32"/>
          <w:szCs w:val="32"/>
          <w:shd w:val="clear" w:color="FFFFFF" w:fill="FFFFFF"/>
        </w:rPr>
        <w:t>4、“三公”经费预算全部为非财政拨款“三公”经费，2021年“三公”经费预算34万元，本年实际支出“三公”经费为26.5万元，“三公”经费控制率77.94%，小于100%。</w:t>
      </w:r>
    </w:p>
    <w:p w:rsidR="00144188" w:rsidRDefault="00BE1419">
      <w:pPr>
        <w:shd w:val="clear" w:color="auto" w:fill="FFFFFF"/>
        <w:spacing w:line="580" w:lineRule="exact"/>
        <w:ind w:firstLine="640"/>
        <w:rPr>
          <w:rFonts w:ascii="仿宋_GB2312" w:eastAsia="仿宋_GB2312"/>
          <w:color w:val="000000"/>
          <w:spacing w:val="-2"/>
          <w:sz w:val="32"/>
          <w:szCs w:val="32"/>
          <w:shd w:val="clear" w:color="FFFFFF" w:fill="FFFFFF"/>
        </w:rPr>
      </w:pPr>
      <w:r>
        <w:rPr>
          <w:rFonts w:ascii="仿宋_GB2312" w:eastAsia="仿宋_GB2312" w:hint="eastAsia"/>
          <w:color w:val="000000"/>
          <w:spacing w:val="-2"/>
          <w:sz w:val="32"/>
          <w:szCs w:val="32"/>
          <w:shd w:val="clear" w:color="FFFFFF" w:fill="FFFFFF"/>
        </w:rPr>
        <w:t>5、本年年末在职职工人数3939人，编制人数3221人，控制率为122.29%，超过控制数22.29个百分点。</w:t>
      </w:r>
    </w:p>
    <w:p w:rsidR="00144188" w:rsidRDefault="00BE1419">
      <w:pPr>
        <w:pStyle w:val="a5"/>
        <w:spacing w:line="550" w:lineRule="exact"/>
        <w:ind w:firstLine="632"/>
        <w:jc w:val="left"/>
        <w:rPr>
          <w:rFonts w:ascii="仿宋_GB2312" w:eastAsia="仿宋_GB2312"/>
          <w:color w:val="000000"/>
          <w:spacing w:val="-2"/>
          <w:sz w:val="32"/>
          <w:szCs w:val="32"/>
          <w:shd w:val="clear" w:color="FFFFFF" w:fill="FFFFFF"/>
        </w:rPr>
      </w:pPr>
      <w:r>
        <w:rPr>
          <w:rFonts w:ascii="仿宋_GB2312" w:eastAsia="仿宋_GB2312" w:hint="eastAsia"/>
          <w:color w:val="000000"/>
          <w:spacing w:val="-2"/>
          <w:sz w:val="32"/>
          <w:szCs w:val="32"/>
          <w:shd w:val="clear" w:color="FFFFFF" w:fill="FFFFFF"/>
        </w:rPr>
        <w:t>6、职工待遇不断提高，职工权益得到保障，人员经费占比逐年增长。</w:t>
      </w:r>
    </w:p>
    <w:p w:rsidR="00144188" w:rsidRDefault="00BE1419">
      <w:pPr>
        <w:pStyle w:val="a5"/>
        <w:spacing w:line="550" w:lineRule="exact"/>
        <w:ind w:firstLine="632"/>
        <w:jc w:val="left"/>
        <w:rPr>
          <w:rFonts w:ascii="仿宋_GB2312" w:eastAsia="仿宋_GB2312"/>
          <w:color w:val="000000"/>
          <w:spacing w:val="-2"/>
          <w:sz w:val="32"/>
          <w:szCs w:val="32"/>
          <w:shd w:val="clear" w:color="FFFFFF" w:fill="FFFFFF"/>
        </w:rPr>
      </w:pPr>
      <w:r>
        <w:rPr>
          <w:rFonts w:ascii="仿宋_GB2312" w:eastAsia="仿宋_GB2312" w:hint="eastAsia"/>
          <w:color w:val="000000"/>
          <w:spacing w:val="-2"/>
          <w:sz w:val="32"/>
          <w:szCs w:val="32"/>
          <w:shd w:val="clear" w:color="FFFFFF" w:fill="FFFFFF"/>
        </w:rPr>
        <w:t>7、2021年度较好的保障了公立医院综合改革的顺利实施，实现提高辖区居民健康水平；医院实施国家基本药物制</w:t>
      </w:r>
      <w:r>
        <w:rPr>
          <w:rFonts w:ascii="仿宋_GB2312" w:eastAsia="仿宋_GB2312" w:hint="eastAsia"/>
          <w:color w:val="000000"/>
          <w:spacing w:val="-2"/>
          <w:sz w:val="32"/>
          <w:szCs w:val="32"/>
          <w:shd w:val="clear" w:color="FFFFFF" w:fill="FFFFFF"/>
        </w:rPr>
        <w:lastRenderedPageBreak/>
        <w:t>度，全部药品（中草药除外）实行零差率销售，实施国家药品、耗材集采制度，实现药品、耗材价格下降，一定程度缓解了群众“看病贵”问题，人民群众身体健康权益获得感满足感不断提升。</w:t>
      </w:r>
    </w:p>
    <w:p w:rsidR="00144188" w:rsidRDefault="00BE1419">
      <w:pPr>
        <w:pStyle w:val="a5"/>
        <w:spacing w:line="550" w:lineRule="exact"/>
        <w:ind w:firstLine="632"/>
        <w:jc w:val="left"/>
        <w:rPr>
          <w:rFonts w:ascii="仿宋_GB2312" w:eastAsia="仿宋_GB2312"/>
          <w:color w:val="000000"/>
          <w:spacing w:val="-2"/>
          <w:sz w:val="32"/>
          <w:szCs w:val="32"/>
          <w:shd w:val="clear" w:color="auto" w:fill="FFFFFF"/>
        </w:rPr>
      </w:pPr>
      <w:r>
        <w:rPr>
          <w:rFonts w:ascii="仿宋_GB2312" w:eastAsia="仿宋_GB2312" w:hint="eastAsia"/>
          <w:color w:val="000000"/>
          <w:spacing w:val="-2"/>
          <w:sz w:val="32"/>
          <w:szCs w:val="32"/>
          <w:shd w:val="clear" w:color="FFFFFF" w:fill="FFFFFF"/>
        </w:rPr>
        <w:t>8、在郴州市卫生健康委的领导下较好的完成了市内常见病、多发病、疑难病的诊治任务、完成了120急救和各种突发事故的现场抢救及院内急救任务、接收下级医院转诊、指导下级医疗机构做好医疗业务技术工作等任务，承担了市区内大部分新冠疫情核酸检测任务，为本市区疫情防控做出重大贡献。</w:t>
      </w:r>
      <w:r w:rsidR="000272F2">
        <w:rPr>
          <w:rFonts w:ascii="仿宋_GB2312" w:eastAsia="仿宋_GB2312" w:hint="eastAsia"/>
          <w:color w:val="000000"/>
          <w:spacing w:val="-2"/>
          <w:sz w:val="32"/>
          <w:szCs w:val="32"/>
          <w:highlight w:val="darkRed"/>
          <w:shd w:val="clear" w:color="auto" w:fill="FFFFFF"/>
        </w:rPr>
        <w:fldChar w:fldCharType="end"/>
      </w:r>
    </w:p>
    <w:p w:rsidR="00144188" w:rsidRDefault="00BE1419">
      <w:pPr>
        <w:pStyle w:val="a5"/>
        <w:spacing w:line="550" w:lineRule="exact"/>
        <w:ind w:firstLine="643"/>
        <w:jc w:val="left"/>
        <w:rPr>
          <w:rFonts w:ascii="Times New Roman" w:eastAsia="黑体" w:hAnsi="Times New Roman"/>
          <w:b/>
          <w:sz w:val="32"/>
          <w:szCs w:val="32"/>
        </w:rPr>
      </w:pPr>
      <w:r>
        <w:rPr>
          <w:rFonts w:ascii="Times New Roman" w:eastAsia="黑体" w:hAnsi="Times New Roman"/>
          <w:b/>
          <w:sz w:val="32"/>
          <w:szCs w:val="32"/>
        </w:rPr>
        <w:t>七、存在的问题及原因分析</w:t>
      </w:r>
    </w:p>
    <w:p w:rsidR="00144188" w:rsidRDefault="00BE1419">
      <w:pPr>
        <w:spacing w:line="550" w:lineRule="exact"/>
        <w:ind w:firstLineChars="200" w:firstLine="640"/>
        <w:jc w:val="left"/>
        <w:rPr>
          <w:rFonts w:ascii="仿宋_GB2312" w:eastAsia="仿宋_GB2312" w:hAnsi="微软雅黑"/>
          <w:color w:val="202020"/>
          <w:sz w:val="32"/>
          <w:szCs w:val="32"/>
        </w:rPr>
      </w:pPr>
      <w:r>
        <w:rPr>
          <w:rFonts w:ascii="仿宋_GB2312" w:eastAsia="仿宋_GB2312" w:hAnsi="微软雅黑" w:hint="eastAsia"/>
          <w:color w:val="202020"/>
          <w:sz w:val="32"/>
          <w:szCs w:val="32"/>
        </w:rPr>
        <w:t>1、绩效考核注重短期指标，忽视长期发展性指标。关注财务性指标，忽视内部流程、学习与成长、患者满意度这些可持续发展指</w:t>
      </w:r>
      <w:r w:rsidR="0094647C">
        <w:rPr>
          <w:rFonts w:ascii="仿宋_GB2312" w:eastAsia="仿宋_GB2312" w:hAnsi="微软雅黑" w:hint="eastAsia"/>
          <w:color w:val="202020"/>
          <w:sz w:val="32"/>
          <w:szCs w:val="32"/>
        </w:rPr>
        <w:t>标。理想的公立医院绩效管理要既关注短期绩效，又关注长期发展远景。</w:t>
      </w:r>
    </w:p>
    <w:p w:rsidR="00144188" w:rsidRDefault="00BE1419">
      <w:pPr>
        <w:spacing w:line="550" w:lineRule="exact"/>
        <w:ind w:firstLineChars="200" w:firstLine="640"/>
        <w:jc w:val="left"/>
        <w:rPr>
          <w:rFonts w:ascii="Times New Roman" w:eastAsia="仿宋_GB2312" w:hAnsi="Times New Roman"/>
          <w:sz w:val="32"/>
          <w:szCs w:val="32"/>
        </w:rPr>
      </w:pPr>
      <w:r>
        <w:rPr>
          <w:rFonts w:ascii="仿宋_GB2312" w:eastAsia="仿宋_GB2312" w:hAnsi="微软雅黑" w:hint="eastAsia"/>
          <w:color w:val="202020"/>
          <w:sz w:val="32"/>
          <w:szCs w:val="32"/>
        </w:rPr>
        <w:t>2、医院有绩效目标，但缺少有效的绩效计划来支持前者的实现，没有切实可行的绩效计划和资源计划的支撑，绩效目标是难以实现的，很容易形成工作与目标的脱节。</w:t>
      </w:r>
      <w:r>
        <w:rPr>
          <w:rFonts w:ascii="Times New Roman" w:eastAsia="仿宋_GB2312" w:hAnsi="Times New Roman"/>
          <w:sz w:val="32"/>
          <w:szCs w:val="32"/>
        </w:rPr>
        <w:t>可以从预算和预算绩效管理，部门履职效能，资金分配、</w:t>
      </w:r>
      <w:r>
        <w:rPr>
          <w:rFonts w:ascii="Times New Roman" w:eastAsia="仿宋_GB2312" w:hAnsi="Times New Roman"/>
          <w:spacing w:val="-6"/>
          <w:sz w:val="32"/>
          <w:szCs w:val="32"/>
        </w:rPr>
        <w:t>使用和管理，资产和财务管理、政府采购等方面归纳存在的问题；反映各种</w:t>
      </w:r>
      <w:r>
        <w:rPr>
          <w:rFonts w:ascii="Times New Roman" w:eastAsia="仿宋_GB2312" w:hAnsi="Times New Roman"/>
          <w:color w:val="000000"/>
          <w:spacing w:val="-6"/>
          <w:sz w:val="32"/>
          <w:szCs w:val="32"/>
        </w:rPr>
        <w:t>预算支出执行偏离绩效目标的情况，</w:t>
      </w:r>
      <w:r>
        <w:rPr>
          <w:rFonts w:ascii="Times New Roman" w:eastAsia="仿宋_GB2312" w:hAnsi="Times New Roman"/>
          <w:spacing w:val="-6"/>
          <w:sz w:val="32"/>
          <w:szCs w:val="32"/>
        </w:rPr>
        <w:t>并分析其原因。</w:t>
      </w:r>
    </w:p>
    <w:p w:rsidR="00144188" w:rsidRDefault="00BE1419">
      <w:pPr>
        <w:spacing w:line="550" w:lineRule="exact"/>
        <w:ind w:firstLineChars="200" w:firstLine="643"/>
        <w:jc w:val="left"/>
        <w:rPr>
          <w:rFonts w:ascii="Times New Roman" w:eastAsia="黑体" w:hAnsi="Times New Roman"/>
          <w:b/>
          <w:sz w:val="32"/>
          <w:szCs w:val="32"/>
        </w:rPr>
      </w:pPr>
      <w:r>
        <w:rPr>
          <w:rFonts w:ascii="Times New Roman" w:eastAsia="黑体" w:hAnsi="Times New Roman"/>
          <w:b/>
          <w:sz w:val="32"/>
          <w:szCs w:val="32"/>
        </w:rPr>
        <w:t>八、下一步改进措施</w:t>
      </w:r>
    </w:p>
    <w:p w:rsidR="00144188" w:rsidRDefault="00BE1419">
      <w:pPr>
        <w:shd w:val="clear" w:color="auto" w:fill="FFFFFF"/>
        <w:spacing w:line="580" w:lineRule="exact"/>
        <w:ind w:firstLine="640"/>
        <w:rPr>
          <w:rFonts w:ascii="仿宋_GB2312" w:eastAsia="仿宋_GB2312"/>
          <w:color w:val="000000"/>
          <w:spacing w:val="-2"/>
          <w:sz w:val="32"/>
          <w:szCs w:val="32"/>
          <w:shd w:val="clear" w:color="auto" w:fill="FFFFFF"/>
        </w:rPr>
      </w:pPr>
      <w:r>
        <w:rPr>
          <w:rFonts w:ascii="仿宋_GB2312" w:eastAsia="仿宋_GB2312" w:hint="eastAsia"/>
          <w:color w:val="000000"/>
          <w:spacing w:val="-2"/>
          <w:sz w:val="32"/>
          <w:szCs w:val="32"/>
          <w:shd w:val="clear" w:color="auto" w:fill="FFFFFF"/>
        </w:rPr>
        <w:t>1、加强业财融合，控制医疗成本，优化医疗服务收入结构，完善考核体系。医院在今年的降低疫情损失工作方案中制订了一系列措施和办法，努力提高经营管理能力和水平，</w:t>
      </w:r>
      <w:r>
        <w:rPr>
          <w:rFonts w:ascii="仿宋_GB2312" w:eastAsia="仿宋_GB2312" w:hint="eastAsia"/>
          <w:color w:val="000000"/>
          <w:spacing w:val="-2"/>
          <w:sz w:val="32"/>
          <w:szCs w:val="32"/>
          <w:shd w:val="clear" w:color="auto" w:fill="FFFFFF"/>
        </w:rPr>
        <w:lastRenderedPageBreak/>
        <w:t>优化医疗服务收入结构；医疗、药剂和物质设备科要联合开展医疗服务规范化质控，形成内部监督检查机制，降低医疗服务成本，各医疗区、职能科室要加强考核，各项制度执行落实到位，务求高质量经济增长。</w:t>
      </w:r>
    </w:p>
    <w:p w:rsidR="00144188" w:rsidRDefault="00BE1419">
      <w:pPr>
        <w:spacing w:line="550" w:lineRule="exact"/>
        <w:ind w:firstLineChars="200" w:firstLine="632"/>
        <w:jc w:val="left"/>
        <w:rPr>
          <w:rFonts w:ascii="仿宋_GB2312" w:eastAsia="仿宋_GB2312" w:hAnsi="Times New Roman"/>
          <w:sz w:val="32"/>
          <w:szCs w:val="32"/>
        </w:rPr>
      </w:pPr>
      <w:r>
        <w:rPr>
          <w:rFonts w:ascii="仿宋_GB2312" w:eastAsia="仿宋_GB2312" w:hint="eastAsia"/>
          <w:color w:val="000000"/>
          <w:spacing w:val="-2"/>
          <w:sz w:val="32"/>
          <w:szCs w:val="32"/>
          <w:shd w:val="clear" w:color="auto" w:fill="FFFFFF"/>
        </w:rPr>
        <w:t>2、加强绩效考核，进一步完善绩效激励机制。根据三级公立医院绩效考核工作要求和医院实际，完善内部绩效考核办法；推进项目绩效管理，优化绩效工资分配办法，对标DRG付费改革，加强医疗质量管理和内涵建设，规范医疗服务行为，以此来提高医务人员技术劳务绩效待遇，调动医务人员的干事创业积极性。</w:t>
      </w:r>
    </w:p>
    <w:p w:rsidR="00144188" w:rsidRDefault="00BE1419">
      <w:pPr>
        <w:spacing w:line="550" w:lineRule="exact"/>
        <w:ind w:firstLine="645"/>
        <w:jc w:val="left"/>
        <w:rPr>
          <w:rFonts w:ascii="Times New Roman" w:eastAsia="黑体" w:hAnsi="Times New Roman"/>
          <w:b/>
          <w:sz w:val="32"/>
          <w:szCs w:val="32"/>
        </w:rPr>
      </w:pPr>
      <w:r>
        <w:rPr>
          <w:rFonts w:ascii="Times New Roman" w:eastAsia="黑体" w:hAnsi="Times New Roman"/>
          <w:b/>
          <w:sz w:val="32"/>
          <w:szCs w:val="32"/>
        </w:rPr>
        <w:t>九、部门整体支出绩效自评结果拟应用和公开情况</w:t>
      </w:r>
    </w:p>
    <w:p w:rsidR="00144188" w:rsidRDefault="00BE1419">
      <w:pPr>
        <w:spacing w:line="550" w:lineRule="exact"/>
        <w:ind w:firstLine="645"/>
        <w:jc w:val="left"/>
        <w:rPr>
          <w:rFonts w:ascii="仿宋_GB2312" w:eastAsia="仿宋_GB2312" w:hAnsi="Times New Roman"/>
          <w:sz w:val="32"/>
          <w:szCs w:val="32"/>
        </w:rPr>
      </w:pPr>
      <w:r>
        <w:rPr>
          <w:rFonts w:ascii="仿宋_GB2312" w:eastAsia="仿宋_GB2312" w:hint="eastAsia"/>
          <w:color w:val="4B4B4B"/>
          <w:sz w:val="32"/>
          <w:szCs w:val="32"/>
        </w:rPr>
        <w:t>我单位高度重视此项绩效自评工作，积极落实主体责任，切实加强了组织领导，按照绩效评价相关制度规定，明确了具体责任人，认真开展自评，撰写了此份绩效评价报告，确保绩效自评工作顺利实施，并将按照要求进行信息公开，对存在的问题积极整改</w:t>
      </w:r>
    </w:p>
    <w:p w:rsidR="00144188" w:rsidRDefault="00BE1419">
      <w:pPr>
        <w:spacing w:line="550" w:lineRule="exact"/>
        <w:ind w:firstLine="645"/>
        <w:jc w:val="left"/>
        <w:rPr>
          <w:rFonts w:ascii="Times New Roman" w:eastAsia="黑体" w:hAnsi="Times New Roman"/>
          <w:sz w:val="32"/>
          <w:szCs w:val="32"/>
        </w:rPr>
      </w:pPr>
      <w:r>
        <w:rPr>
          <w:rFonts w:ascii="Times New Roman" w:eastAsia="黑体" w:hAnsi="Times New Roman"/>
          <w:sz w:val="32"/>
          <w:szCs w:val="32"/>
        </w:rPr>
        <w:t>其他需要说明的情况</w:t>
      </w:r>
    </w:p>
    <w:p w:rsidR="00144188" w:rsidRDefault="00BE1419">
      <w:pPr>
        <w:spacing w:line="550" w:lineRule="exact"/>
        <w:ind w:firstLine="645"/>
        <w:jc w:val="left"/>
        <w:rPr>
          <w:rFonts w:ascii="仿宋_GB2312" w:eastAsia="仿宋_GB2312" w:hAnsi="Times New Roman"/>
          <w:sz w:val="32"/>
          <w:szCs w:val="32"/>
        </w:rPr>
      </w:pPr>
      <w:r>
        <w:rPr>
          <w:rFonts w:ascii="仿宋_GB2312" w:eastAsia="仿宋_GB2312" w:hAnsi="Times New Roman" w:hint="eastAsia"/>
          <w:sz w:val="32"/>
          <w:szCs w:val="32"/>
        </w:rPr>
        <w:t>无</w:t>
      </w:r>
    </w:p>
    <w:p w:rsidR="00144188" w:rsidRDefault="00BE1419">
      <w:pPr>
        <w:spacing w:line="550" w:lineRule="exact"/>
        <w:ind w:firstLine="645"/>
        <w:jc w:val="left"/>
        <w:rPr>
          <w:rFonts w:ascii="Times New Roman" w:eastAsia="仿宋_GB2312" w:hAnsi="Times New Roman"/>
          <w:sz w:val="32"/>
          <w:szCs w:val="32"/>
        </w:rPr>
      </w:pPr>
      <w:r>
        <w:rPr>
          <w:rFonts w:ascii="仿宋_GB2312" w:eastAsia="仿宋_GB2312" w:hAnsi="Times New Roman" w:hint="eastAsia"/>
          <w:sz w:val="32"/>
          <w:szCs w:val="32"/>
        </w:rPr>
        <w:t>报</w:t>
      </w:r>
      <w:r>
        <w:rPr>
          <w:rFonts w:ascii="Times New Roman" w:eastAsia="仿宋_GB2312" w:hAnsi="Times New Roman"/>
          <w:sz w:val="32"/>
          <w:szCs w:val="32"/>
        </w:rPr>
        <w:t>告需要以下附件：</w:t>
      </w:r>
    </w:p>
    <w:p w:rsidR="00144188" w:rsidRDefault="00BE1419">
      <w:pPr>
        <w:spacing w:line="550" w:lineRule="exact"/>
        <w:ind w:firstLine="645"/>
        <w:jc w:val="left"/>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w:t>
      </w:r>
      <w:r>
        <w:rPr>
          <w:rFonts w:ascii="Times New Roman" w:eastAsia="仿宋_GB2312" w:hAnsi="Times New Roman"/>
          <w:sz w:val="32"/>
          <w:szCs w:val="32"/>
        </w:rPr>
        <w:t>2021</w:t>
      </w:r>
      <w:r>
        <w:rPr>
          <w:rFonts w:ascii="Times New Roman" w:eastAsia="仿宋_GB2312" w:hAnsi="Times New Roman"/>
          <w:sz w:val="32"/>
          <w:szCs w:val="32"/>
        </w:rPr>
        <w:t>年度部门整体支出绩效评价基础数据表</w:t>
      </w:r>
      <w:r w:rsidR="006B5C10">
        <w:rPr>
          <w:rFonts w:ascii="Times New Roman" w:eastAsia="黑体" w:hAnsi="Times New Roman"/>
          <w:sz w:val="32"/>
          <w:szCs w:val="32"/>
        </w:rPr>
        <w:t>附件</w:t>
      </w:r>
      <w:r w:rsidR="006B5C10">
        <w:rPr>
          <w:rFonts w:ascii="Times New Roman" w:eastAsia="黑体" w:hAnsi="Times New Roman"/>
          <w:sz w:val="32"/>
          <w:szCs w:val="32"/>
        </w:rPr>
        <w:t>2</w:t>
      </w:r>
      <w:r>
        <w:rPr>
          <w:rFonts w:ascii="Times New Roman" w:eastAsia="仿宋_GB2312" w:hAnsi="Times New Roman"/>
          <w:sz w:val="32"/>
          <w:szCs w:val="32"/>
        </w:rPr>
        <w:t xml:space="preserve"> </w:t>
      </w:r>
    </w:p>
    <w:p w:rsidR="00144188" w:rsidRDefault="00BE1419">
      <w:pPr>
        <w:spacing w:line="550" w:lineRule="exact"/>
        <w:ind w:firstLineChars="200" w:firstLine="640"/>
        <w:rPr>
          <w:rFonts w:ascii="Times New Roman" w:eastAsia="黑体"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w:t>
      </w:r>
      <w:r>
        <w:rPr>
          <w:rFonts w:ascii="Times New Roman" w:eastAsia="仿宋_GB2312" w:hAnsi="Times New Roman"/>
          <w:sz w:val="32"/>
          <w:szCs w:val="32"/>
        </w:rPr>
        <w:t>2021</w:t>
      </w:r>
      <w:r>
        <w:rPr>
          <w:rFonts w:ascii="Times New Roman" w:eastAsia="仿宋_GB2312" w:hAnsi="Times New Roman"/>
          <w:sz w:val="32"/>
          <w:szCs w:val="32"/>
        </w:rPr>
        <w:t>年度部门整体支出绩效自评表</w:t>
      </w:r>
      <w:r>
        <w:rPr>
          <w:rFonts w:ascii="Times New Roman" w:eastAsia="黑体" w:hAnsi="Times New Roman"/>
          <w:sz w:val="32"/>
          <w:szCs w:val="32"/>
        </w:rPr>
        <w:t>附件</w:t>
      </w:r>
      <w:r w:rsidR="006B5C10">
        <w:rPr>
          <w:rFonts w:ascii="Times New Roman" w:eastAsia="黑体" w:hAnsi="Times New Roman" w:hint="eastAsia"/>
          <w:sz w:val="32"/>
          <w:szCs w:val="32"/>
        </w:rPr>
        <w:t>3</w:t>
      </w:r>
    </w:p>
    <w:sectPr w:rsidR="00144188" w:rsidSect="001441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211B" w:rsidRDefault="0080211B" w:rsidP="00946BA4">
      <w:r>
        <w:separator/>
      </w:r>
    </w:p>
  </w:endnote>
  <w:endnote w:type="continuationSeparator" w:id="1">
    <w:p w:rsidR="0080211B" w:rsidRDefault="0080211B" w:rsidP="00946B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方正小标宋_GBK">
    <w:altName w:val="微软雅黑"/>
    <w:charset w:val="86"/>
    <w:family w:val="script"/>
    <w:pitch w:val="default"/>
    <w:sig w:usb0="00000000" w:usb1="00000000" w:usb2="00000000" w:usb3="00000000" w:csb0="00040000" w:csb1="00000000"/>
  </w:font>
  <w:font w:name="楷体_GB2312">
    <w:altName w:val="Arial Unicode MS"/>
    <w:charset w:val="86"/>
    <w:family w:val="modern"/>
    <w:pitch w:val="default"/>
    <w:sig w:usb0="00000000" w:usb1="080E0000" w:usb2="00000000" w:usb3="00000000" w:csb0="00040000" w:csb1="00000000"/>
  </w:font>
  <w:font w:name="仿宋_GB2312">
    <w:altName w:val="Arial Unicode MS"/>
    <w:charset w:val="86"/>
    <w:family w:val="modern"/>
    <w:pitch w:val="default"/>
    <w:sig w:usb0="00000000"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211B" w:rsidRDefault="0080211B" w:rsidP="00946BA4">
      <w:r>
        <w:separator/>
      </w:r>
    </w:p>
  </w:footnote>
  <w:footnote w:type="continuationSeparator" w:id="1">
    <w:p w:rsidR="0080211B" w:rsidRDefault="0080211B" w:rsidP="00946BA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791EEB"/>
    <w:multiLevelType w:val="multilevel"/>
    <w:tmpl w:val="56791EEB"/>
    <w:lvl w:ilvl="0">
      <w:start w:val="1"/>
      <w:numFmt w:val="japaneseCounting"/>
      <w:lvlText w:val="%1、"/>
      <w:lvlJc w:val="left"/>
      <w:pPr>
        <w:ind w:left="1287" w:hanging="720"/>
      </w:pPr>
      <w:rPr>
        <w:rFonts w:hint="default"/>
      </w:rPr>
    </w:lvl>
    <w:lvl w:ilvl="1">
      <w:start w:val="1"/>
      <w:numFmt w:val="lowerLetter"/>
      <w:lvlText w:val="%2)"/>
      <w:lvlJc w:val="left"/>
      <w:pPr>
        <w:ind w:left="1470" w:hanging="420"/>
      </w:pPr>
    </w:lvl>
    <w:lvl w:ilvl="2">
      <w:start w:val="1"/>
      <w:numFmt w:val="lowerRoman"/>
      <w:lvlText w:val="%3."/>
      <w:lvlJc w:val="right"/>
      <w:pPr>
        <w:ind w:left="1890" w:hanging="420"/>
      </w:pPr>
    </w:lvl>
    <w:lvl w:ilvl="3">
      <w:start w:val="1"/>
      <w:numFmt w:val="decimal"/>
      <w:lvlText w:val="%4."/>
      <w:lvlJc w:val="left"/>
      <w:pPr>
        <w:ind w:left="2310" w:hanging="420"/>
      </w:pPr>
    </w:lvl>
    <w:lvl w:ilvl="4">
      <w:start w:val="1"/>
      <w:numFmt w:val="lowerLetter"/>
      <w:lvlText w:val="%5)"/>
      <w:lvlJc w:val="left"/>
      <w:pPr>
        <w:ind w:left="2730" w:hanging="420"/>
      </w:pPr>
    </w:lvl>
    <w:lvl w:ilvl="5">
      <w:start w:val="1"/>
      <w:numFmt w:val="lowerRoman"/>
      <w:lvlText w:val="%6."/>
      <w:lvlJc w:val="right"/>
      <w:pPr>
        <w:ind w:left="3150" w:hanging="420"/>
      </w:pPr>
    </w:lvl>
    <w:lvl w:ilvl="6">
      <w:start w:val="1"/>
      <w:numFmt w:val="decimal"/>
      <w:lvlText w:val="%7."/>
      <w:lvlJc w:val="left"/>
      <w:pPr>
        <w:ind w:left="3570" w:hanging="420"/>
      </w:pPr>
    </w:lvl>
    <w:lvl w:ilvl="7">
      <w:start w:val="1"/>
      <w:numFmt w:val="lowerLetter"/>
      <w:lvlText w:val="%8)"/>
      <w:lvlJc w:val="left"/>
      <w:pPr>
        <w:ind w:left="3990" w:hanging="420"/>
      </w:pPr>
    </w:lvl>
    <w:lvl w:ilvl="8">
      <w:start w:val="1"/>
      <w:numFmt w:val="lowerRoman"/>
      <w:lvlText w:val="%9."/>
      <w:lvlJc w:val="right"/>
      <w:pPr>
        <w:ind w:left="441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42217"/>
    <w:rsid w:val="000272F2"/>
    <w:rsid w:val="00113392"/>
    <w:rsid w:val="0013351B"/>
    <w:rsid w:val="00144188"/>
    <w:rsid w:val="00144DF9"/>
    <w:rsid w:val="0014671C"/>
    <w:rsid w:val="001622EE"/>
    <w:rsid w:val="00190A58"/>
    <w:rsid w:val="001C21E7"/>
    <w:rsid w:val="00247B5E"/>
    <w:rsid w:val="002578F5"/>
    <w:rsid w:val="002A013E"/>
    <w:rsid w:val="002B5301"/>
    <w:rsid w:val="0034598E"/>
    <w:rsid w:val="00354A6A"/>
    <w:rsid w:val="00377974"/>
    <w:rsid w:val="00385D19"/>
    <w:rsid w:val="003B37FD"/>
    <w:rsid w:val="00416E15"/>
    <w:rsid w:val="004172E9"/>
    <w:rsid w:val="00490105"/>
    <w:rsid w:val="004A5776"/>
    <w:rsid w:val="0050274E"/>
    <w:rsid w:val="00531614"/>
    <w:rsid w:val="00594CDB"/>
    <w:rsid w:val="005B6C84"/>
    <w:rsid w:val="006242ED"/>
    <w:rsid w:val="00625CDA"/>
    <w:rsid w:val="00627C00"/>
    <w:rsid w:val="00637C67"/>
    <w:rsid w:val="006B2D57"/>
    <w:rsid w:val="006B5C10"/>
    <w:rsid w:val="00734E23"/>
    <w:rsid w:val="007F1323"/>
    <w:rsid w:val="0080211B"/>
    <w:rsid w:val="00805613"/>
    <w:rsid w:val="008A7A0B"/>
    <w:rsid w:val="00926ADA"/>
    <w:rsid w:val="0094647C"/>
    <w:rsid w:val="00946BA4"/>
    <w:rsid w:val="00965CFA"/>
    <w:rsid w:val="009A7BCE"/>
    <w:rsid w:val="00A22E53"/>
    <w:rsid w:val="00A74AD5"/>
    <w:rsid w:val="00B42217"/>
    <w:rsid w:val="00BE1419"/>
    <w:rsid w:val="00BF7401"/>
    <w:rsid w:val="00C42CCC"/>
    <w:rsid w:val="00C51D81"/>
    <w:rsid w:val="00C53C07"/>
    <w:rsid w:val="00C92722"/>
    <w:rsid w:val="00D11EBC"/>
    <w:rsid w:val="00DA1CFC"/>
    <w:rsid w:val="00DA7746"/>
    <w:rsid w:val="00EB715E"/>
    <w:rsid w:val="00F508B7"/>
    <w:rsid w:val="00F67D10"/>
    <w:rsid w:val="00FA2985"/>
    <w:rsid w:val="00FB438D"/>
    <w:rsid w:val="00FC4363"/>
    <w:rsid w:val="00FD0DA5"/>
    <w:rsid w:val="021C5AF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4188"/>
    <w:pPr>
      <w:widowControl w:val="0"/>
      <w:jc w:val="both"/>
    </w:pPr>
    <w:rPr>
      <w:rFonts w:ascii="仿宋" w:eastAsia="宋体" w:hAnsi="仿宋"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144188"/>
    <w:pPr>
      <w:tabs>
        <w:tab w:val="center" w:pos="4153"/>
        <w:tab w:val="right" w:pos="8306"/>
      </w:tabs>
      <w:snapToGrid w:val="0"/>
      <w:jc w:val="left"/>
    </w:pPr>
    <w:rPr>
      <w:rFonts w:asciiTheme="minorHAnsi" w:eastAsiaTheme="minorEastAsia" w:hAnsiTheme="minorHAnsi" w:cstheme="minorBidi"/>
      <w:kern w:val="2"/>
      <w:sz w:val="18"/>
      <w:szCs w:val="18"/>
    </w:rPr>
  </w:style>
  <w:style w:type="paragraph" w:styleId="a4">
    <w:name w:val="header"/>
    <w:basedOn w:val="a"/>
    <w:link w:val="Char0"/>
    <w:uiPriority w:val="99"/>
    <w:semiHidden/>
    <w:unhideWhenUsed/>
    <w:qFormat/>
    <w:rsid w:val="00144188"/>
    <w:pPr>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0">
    <w:name w:val="页眉 Char"/>
    <w:basedOn w:val="a0"/>
    <w:link w:val="a4"/>
    <w:uiPriority w:val="99"/>
    <w:semiHidden/>
    <w:qFormat/>
    <w:rsid w:val="00144188"/>
    <w:rPr>
      <w:sz w:val="18"/>
      <w:szCs w:val="18"/>
    </w:rPr>
  </w:style>
  <w:style w:type="character" w:customStyle="1" w:styleId="Char">
    <w:name w:val="页脚 Char"/>
    <w:basedOn w:val="a0"/>
    <w:link w:val="a3"/>
    <w:uiPriority w:val="99"/>
    <w:semiHidden/>
    <w:qFormat/>
    <w:rsid w:val="00144188"/>
    <w:rPr>
      <w:sz w:val="18"/>
      <w:szCs w:val="18"/>
    </w:rPr>
  </w:style>
  <w:style w:type="paragraph" w:styleId="a5">
    <w:name w:val="List Paragraph"/>
    <w:basedOn w:val="a"/>
    <w:uiPriority w:val="99"/>
    <w:qFormat/>
    <w:rsid w:val="00144188"/>
    <w:pPr>
      <w:ind w:firstLineChars="200" w:firstLine="420"/>
    </w:pPr>
    <w:rPr>
      <w:rFonts w:ascii="Calibri" w:hAnsi="Calibri"/>
      <w:szCs w:val="22"/>
    </w:rPr>
  </w:style>
  <w:style w:type="paragraph" w:styleId="a6">
    <w:name w:val="No Spacing"/>
    <w:uiPriority w:val="1"/>
    <w:qFormat/>
    <w:rsid w:val="00144188"/>
    <w:pPr>
      <w:widowControl w:val="0"/>
      <w:jc w:val="both"/>
    </w:pPr>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220</TotalTime>
  <Pages>8</Pages>
  <Words>626</Words>
  <Characters>3573</Characters>
  <Application>Microsoft Office Word</Application>
  <DocSecurity>0</DocSecurity>
  <Lines>29</Lines>
  <Paragraphs>8</Paragraphs>
  <ScaleCrop>false</ScaleCrop>
  <Company/>
  <LinksUpToDate>false</LinksUpToDate>
  <CharactersWithSpaces>4191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48</cp:revision>
  <dcterms:created xsi:type="dcterms:W3CDTF">2022-04-19T07:40:00Z</dcterms:created>
  <dcterms:modified xsi:type="dcterms:W3CDTF">2022-04-26T03:51:00Z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eyJoZGlkIjoiYTA4ZTEzNmUyMTIzOTVkODZjNDQzZmZiYzg2Y2FiODcifQ==</vt:lpwstr>
  </property>
  <property fmtid="{D5CDD505-2E9C-101B-9397-08002B2CF9AE}" pid="3" name="KSOProductBuildVer">
    <vt:lpwstr>2052-11.1.0.11636</vt:lpwstr>
  </property>
  <property fmtid="{D5CDD505-2E9C-101B-9397-08002B2CF9AE}" pid="4" name="ICV">
    <vt:lpwstr>AD3AF7C53F194176A25EC2D6D1D91A5F</vt:lpwstr>
  </property>
</Properties>
</file>