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F41510">
      <w:pPr>
        <w:jc w:val="right"/>
        <w:rPr>
          <w:rStyle w:val="font11"/>
        </w:rPr>
      </w:pPr>
    </w:p>
    <w:tbl>
      <w:tblPr>
        <w:tblW w:w="0" w:type="auto"/>
        <w:tblInd w:w="5508" w:type="dxa"/>
        <w:tblLook w:val="04A0"/>
      </w:tblPr>
      <w:tblGrid>
        <w:gridCol w:w="960"/>
        <w:gridCol w:w="2919"/>
        <w:gridCol w:w="467"/>
      </w:tblGrid>
      <w:tr w:rsidR="00000000">
        <w:tc>
          <w:tcPr>
            <w:tcW w:w="1260" w:type="dxa"/>
            <w:hideMark/>
          </w:tcPr>
          <w:p w:rsidR="00000000" w:rsidRDefault="00F41510">
            <w:pPr>
              <w:rPr>
                <w:rFonts w:ascii="宋体" w:hAnsi="宋体" w:cs="宋体"/>
                <w:kern w:val="0"/>
                <w:sz w:val="24"/>
              </w:rPr>
            </w:pPr>
          </w:p>
        </w:tc>
        <w:tc>
          <w:tcPr>
            <w:tcW w:w="2920" w:type="dxa"/>
            <w:hideMark/>
          </w:tcPr>
          <w:p w:rsidR="00000000" w:rsidRDefault="00F41510">
            <w:pPr>
              <w:jc w:val="center"/>
            </w:pPr>
            <w:r>
              <w:rPr>
                <w:rStyle w:val="font21"/>
                <w:rFonts w:hint="default"/>
                <w:b/>
                <w:bCs/>
              </w:rPr>
              <w:t>统一社会信用代码</w:t>
            </w:r>
          </w:p>
        </w:tc>
        <w:tc>
          <w:tcPr>
            <w:tcW w:w="566" w:type="dxa"/>
            <w:hideMark/>
          </w:tcPr>
          <w:p w:rsidR="00000000" w:rsidRDefault="00F41510">
            <w:pPr>
              <w:rPr>
                <w:rFonts w:ascii="宋体" w:hAnsi="宋体" w:cs="宋体"/>
                <w:kern w:val="0"/>
                <w:sz w:val="24"/>
              </w:rPr>
            </w:pPr>
          </w:p>
        </w:tc>
      </w:tr>
      <w:tr w:rsidR="00000000">
        <w:tc>
          <w:tcPr>
            <w:tcW w:w="1260" w:type="dxa"/>
            <w:hideMark/>
          </w:tcPr>
          <w:p w:rsidR="00000000" w:rsidRDefault="00F41510">
            <w:pPr>
              <w:rPr>
                <w:rFonts w:ascii="宋体" w:hAnsi="宋体" w:cs="宋体"/>
                <w:kern w:val="0"/>
                <w:sz w:val="24"/>
              </w:rPr>
            </w:pPr>
          </w:p>
        </w:tc>
        <w:tc>
          <w:tcPr>
            <w:tcW w:w="2520" w:type="dxa"/>
            <w:hideMark/>
          </w:tcPr>
          <w:p w:rsidR="00000000" w:rsidRDefault="00F41510">
            <w:pPr>
              <w:jc w:val="center"/>
            </w:pPr>
            <w:r>
              <w:rPr>
                <w:rStyle w:val="font21"/>
                <w:rFonts w:hint="default"/>
                <w:b/>
                <w:bCs/>
              </w:rPr>
              <w:t>124310004473924692</w:t>
            </w:r>
          </w:p>
        </w:tc>
        <w:tc>
          <w:tcPr>
            <w:tcW w:w="566" w:type="dxa"/>
            <w:hideMark/>
          </w:tcPr>
          <w:p w:rsidR="00000000" w:rsidRDefault="00F41510">
            <w:pPr>
              <w:rPr>
                <w:rFonts w:ascii="宋体" w:hAnsi="宋体" w:cs="宋体"/>
                <w:kern w:val="0"/>
                <w:sz w:val="24"/>
              </w:rPr>
            </w:pPr>
          </w:p>
        </w:tc>
      </w:tr>
    </w:tbl>
    <w:p w:rsidR="00000000" w:rsidRDefault="00F41510">
      <w:pPr>
        <w:jc w:val="right"/>
      </w:pPr>
    </w:p>
    <w:p w:rsidR="00000000" w:rsidRDefault="00F41510">
      <w:pPr>
        <w:jc w:val="right"/>
      </w:pPr>
    </w:p>
    <w:p w:rsidR="00000000" w:rsidRDefault="00F41510">
      <w:pPr>
        <w:jc w:val="right"/>
      </w:pPr>
    </w:p>
    <w:p w:rsidR="00000000" w:rsidRDefault="00F41510">
      <w:pPr>
        <w:jc w:val="right"/>
      </w:pPr>
    </w:p>
    <w:p w:rsidR="00000000" w:rsidRDefault="00F41510">
      <w:pPr>
        <w:jc w:val="center"/>
      </w:pPr>
      <w:r>
        <w:rPr>
          <w:rStyle w:val="font31"/>
          <w:rFonts w:hint="default"/>
          <w:b/>
          <w:bCs/>
        </w:rPr>
        <w:t>事业单位法人年度报告书</w:t>
      </w:r>
    </w:p>
    <w:p w:rsidR="00000000" w:rsidRDefault="00F41510">
      <w:pPr>
        <w:jc w:val="center"/>
        <w:rPr>
          <w:rFonts w:eastAsia="黑体"/>
          <w:b/>
          <w:bCs/>
          <w:spacing w:val="30"/>
        </w:rPr>
      </w:pPr>
    </w:p>
    <w:tbl>
      <w:tblPr>
        <w:tblW w:w="0" w:type="auto"/>
        <w:jc w:val="center"/>
        <w:tblInd w:w="5508" w:type="dxa"/>
        <w:tblLook w:val="04A0"/>
      </w:tblPr>
      <w:tblGrid>
        <w:gridCol w:w="594"/>
        <w:gridCol w:w="1814"/>
        <w:gridCol w:w="1440"/>
      </w:tblGrid>
      <w:tr w:rsidR="00000000">
        <w:trPr>
          <w:jc w:val="center"/>
        </w:trPr>
        <w:tc>
          <w:tcPr>
            <w:tcW w:w="594" w:type="dxa"/>
            <w:hideMark/>
          </w:tcPr>
          <w:p w:rsidR="00000000" w:rsidRDefault="00F41510">
            <w:pPr>
              <w:jc w:val="center"/>
            </w:pPr>
            <w:r>
              <w:rPr>
                <w:rStyle w:val="font21"/>
                <w:rFonts w:hint="default"/>
                <w:b/>
                <w:bCs/>
              </w:rPr>
              <w:t>（</w:t>
            </w:r>
          </w:p>
        </w:tc>
        <w:tc>
          <w:tcPr>
            <w:tcW w:w="1814" w:type="dxa"/>
            <w:hideMark/>
          </w:tcPr>
          <w:p w:rsidR="00000000" w:rsidRDefault="00F41510">
            <w:pPr>
              <w:jc w:val="center"/>
            </w:pPr>
            <w:r>
              <w:rPr>
                <w:rStyle w:val="font21"/>
                <w:rFonts w:hint="default"/>
                <w:b/>
                <w:bCs/>
              </w:rPr>
              <w:t>2024</w:t>
            </w:r>
          </w:p>
        </w:tc>
        <w:tc>
          <w:tcPr>
            <w:tcW w:w="1440" w:type="dxa"/>
            <w:hideMark/>
          </w:tcPr>
          <w:p w:rsidR="00000000" w:rsidRDefault="00F41510">
            <w:pPr>
              <w:jc w:val="center"/>
            </w:pPr>
            <w:r>
              <w:rPr>
                <w:rStyle w:val="font21"/>
                <w:rFonts w:hint="default"/>
                <w:b/>
                <w:bCs/>
              </w:rPr>
              <w:t>）年度</w:t>
            </w:r>
          </w:p>
        </w:tc>
      </w:tr>
    </w:tbl>
    <w:p w:rsidR="00000000" w:rsidRDefault="00F41510">
      <w:pPr>
        <w:jc w:val="center"/>
        <w:rPr>
          <w:rStyle w:val="font41"/>
          <w:b/>
          <w:bCs/>
        </w:rPr>
      </w:pPr>
    </w:p>
    <w:p w:rsidR="00000000" w:rsidRDefault="00F41510">
      <w:pPr>
        <w:jc w:val="center"/>
        <w:rPr>
          <w:rStyle w:val="font41"/>
        </w:rPr>
      </w:pPr>
    </w:p>
    <w:p w:rsidR="00000000" w:rsidRDefault="00F41510">
      <w:pPr>
        <w:jc w:val="center"/>
        <w:rPr>
          <w:rStyle w:val="font41"/>
        </w:rPr>
      </w:pPr>
    </w:p>
    <w:p w:rsidR="00000000" w:rsidRDefault="00F41510">
      <w:pPr>
        <w:jc w:val="center"/>
        <w:rPr>
          <w:rStyle w:val="font41"/>
        </w:rPr>
      </w:pPr>
    </w:p>
    <w:p w:rsidR="00000000" w:rsidRDefault="00F41510">
      <w:pPr>
        <w:jc w:val="center"/>
        <w:rPr>
          <w:rStyle w:val="font41"/>
        </w:rPr>
      </w:pPr>
    </w:p>
    <w:tbl>
      <w:tblPr>
        <w:tblW w:w="0" w:type="auto"/>
        <w:jc w:val="center"/>
        <w:tblInd w:w="-139" w:type="dxa"/>
        <w:tblLook w:val="04A0"/>
      </w:tblPr>
      <w:tblGrid>
        <w:gridCol w:w="2405"/>
        <w:gridCol w:w="5294"/>
      </w:tblGrid>
      <w:tr w:rsidR="00000000">
        <w:trPr>
          <w:trHeight w:val="615"/>
          <w:jc w:val="center"/>
        </w:trPr>
        <w:tc>
          <w:tcPr>
            <w:tcW w:w="2405" w:type="dxa"/>
            <w:vAlign w:val="bottom"/>
            <w:hideMark/>
          </w:tcPr>
          <w:p w:rsidR="00000000" w:rsidRDefault="00F41510">
            <w:pPr>
              <w:jc w:val="distribute"/>
            </w:pPr>
            <w:r>
              <w:rPr>
                <w:rStyle w:val="font51"/>
                <w:rFonts w:hint="default"/>
                <w:b/>
                <w:bCs/>
              </w:rPr>
              <w:t>单</w:t>
            </w:r>
            <w:r>
              <w:rPr>
                <w:rStyle w:val="font51"/>
                <w:rFonts w:hint="default"/>
                <w:b/>
                <w:bCs/>
              </w:rPr>
              <w:t xml:space="preserve"> </w:t>
            </w:r>
            <w:r>
              <w:rPr>
                <w:rStyle w:val="font51"/>
                <w:rFonts w:hint="default"/>
                <w:b/>
                <w:bCs/>
              </w:rPr>
              <w:t>位</w:t>
            </w:r>
            <w:r>
              <w:rPr>
                <w:rStyle w:val="font51"/>
                <w:rFonts w:hint="default"/>
                <w:b/>
                <w:bCs/>
              </w:rPr>
              <w:t xml:space="preserve"> </w:t>
            </w:r>
            <w:r>
              <w:rPr>
                <w:rStyle w:val="font51"/>
                <w:rFonts w:hint="default"/>
                <w:b/>
                <w:bCs/>
              </w:rPr>
              <w:t>名</w:t>
            </w:r>
            <w:r>
              <w:rPr>
                <w:rStyle w:val="font51"/>
                <w:rFonts w:hint="default"/>
                <w:b/>
                <w:bCs/>
              </w:rPr>
              <w:t xml:space="preserve"> </w:t>
            </w:r>
            <w:r>
              <w:rPr>
                <w:rStyle w:val="font51"/>
                <w:rFonts w:hint="default"/>
                <w:b/>
                <w:bCs/>
              </w:rPr>
              <w:t>称</w:t>
            </w:r>
          </w:p>
        </w:tc>
        <w:tc>
          <w:tcPr>
            <w:tcW w:w="5294" w:type="dxa"/>
            <w:tcBorders>
              <w:top w:val="nil"/>
              <w:left w:val="nil"/>
              <w:bottom w:val="single" w:sz="12" w:space="0" w:color="auto"/>
              <w:right w:val="nil"/>
            </w:tcBorders>
            <w:vAlign w:val="bottom"/>
            <w:hideMark/>
          </w:tcPr>
          <w:p w:rsidR="00000000" w:rsidRDefault="00F41510">
            <w:pPr>
              <w:jc w:val="center"/>
            </w:pPr>
            <w:r>
              <w:rPr>
                <w:rStyle w:val="font61"/>
                <w:rFonts w:hint="default"/>
              </w:rPr>
              <w:t>郴州市第一人民医院</w:t>
            </w:r>
          </w:p>
        </w:tc>
      </w:tr>
    </w:tbl>
    <w:p w:rsidR="00000000" w:rsidRDefault="00F41510">
      <w:pPr>
        <w:rPr>
          <w:rFonts w:ascii="黑体" w:eastAsia="黑体" w:hAnsi="黑体"/>
          <w:b/>
          <w:bCs/>
          <w:sz w:val="24"/>
          <w:u w:val="single"/>
        </w:rPr>
      </w:pPr>
    </w:p>
    <w:tbl>
      <w:tblPr>
        <w:tblW w:w="0" w:type="auto"/>
        <w:jc w:val="center"/>
        <w:tblInd w:w="-59" w:type="dxa"/>
        <w:tblLook w:val="04A0"/>
      </w:tblPr>
      <w:tblGrid>
        <w:gridCol w:w="2365"/>
        <w:gridCol w:w="5254"/>
      </w:tblGrid>
      <w:tr w:rsidR="00000000">
        <w:trPr>
          <w:trHeight w:val="615"/>
          <w:jc w:val="center"/>
        </w:trPr>
        <w:tc>
          <w:tcPr>
            <w:tcW w:w="2365" w:type="dxa"/>
            <w:vAlign w:val="bottom"/>
            <w:hideMark/>
          </w:tcPr>
          <w:p w:rsidR="00000000" w:rsidRDefault="00F41510">
            <w:pPr>
              <w:jc w:val="distribute"/>
            </w:pPr>
            <w:r>
              <w:rPr>
                <w:rStyle w:val="font51"/>
                <w:rFonts w:hint="default"/>
                <w:b/>
                <w:bCs/>
              </w:rPr>
              <w:t>法</w:t>
            </w:r>
            <w:r>
              <w:rPr>
                <w:rStyle w:val="font51"/>
                <w:rFonts w:hint="default"/>
                <w:b/>
                <w:bCs/>
                <w:spacing w:val="30"/>
              </w:rPr>
              <w:t>定代表</w:t>
            </w:r>
            <w:r>
              <w:rPr>
                <w:rStyle w:val="font51"/>
                <w:rFonts w:hint="default"/>
                <w:b/>
                <w:bCs/>
              </w:rPr>
              <w:t>人</w:t>
            </w:r>
          </w:p>
        </w:tc>
        <w:tc>
          <w:tcPr>
            <w:tcW w:w="5254" w:type="dxa"/>
            <w:tcBorders>
              <w:top w:val="nil"/>
              <w:left w:val="nil"/>
              <w:bottom w:val="single" w:sz="12" w:space="0" w:color="auto"/>
              <w:right w:val="nil"/>
            </w:tcBorders>
            <w:vAlign w:val="bottom"/>
            <w:hideMark/>
          </w:tcPr>
          <w:p w:rsidR="00000000" w:rsidRDefault="00F41510">
            <w:pPr>
              <w:rPr>
                <w:rFonts w:ascii="宋体" w:hAnsi="宋体" w:cs="宋体"/>
                <w:kern w:val="0"/>
                <w:sz w:val="24"/>
              </w:rPr>
            </w:pPr>
          </w:p>
        </w:tc>
      </w:tr>
    </w:tbl>
    <w:p w:rsidR="00000000" w:rsidRDefault="00F41510">
      <w:pPr>
        <w:ind w:firstLineChars="300" w:firstLine="723"/>
        <w:rPr>
          <w:rFonts w:ascii="黑体" w:eastAsia="黑体" w:hAnsi="黑体" w:hint="eastAsia"/>
          <w:b/>
          <w:bCs/>
          <w:sz w:val="24"/>
          <w:u w:val="single"/>
        </w:rPr>
      </w:pPr>
    </w:p>
    <w:tbl>
      <w:tblPr>
        <w:tblW w:w="0" w:type="auto"/>
        <w:jc w:val="center"/>
        <w:tblInd w:w="-139" w:type="dxa"/>
        <w:tblLook w:val="04A0"/>
      </w:tblPr>
      <w:tblGrid>
        <w:gridCol w:w="2405"/>
        <w:gridCol w:w="5294"/>
      </w:tblGrid>
      <w:tr w:rsidR="00000000">
        <w:trPr>
          <w:trHeight w:val="615"/>
          <w:jc w:val="center"/>
        </w:trPr>
        <w:tc>
          <w:tcPr>
            <w:tcW w:w="2405" w:type="dxa"/>
            <w:vAlign w:val="bottom"/>
            <w:hideMark/>
          </w:tcPr>
          <w:p w:rsidR="00000000" w:rsidRDefault="00F41510">
            <w:pPr>
              <w:rPr>
                <w:rFonts w:ascii="宋体" w:hAnsi="宋体" w:cs="宋体"/>
                <w:kern w:val="0"/>
                <w:sz w:val="24"/>
              </w:rPr>
            </w:pPr>
          </w:p>
        </w:tc>
        <w:tc>
          <w:tcPr>
            <w:tcW w:w="5294" w:type="dxa"/>
            <w:tcBorders>
              <w:top w:val="nil"/>
              <w:left w:val="nil"/>
              <w:bottom w:val="nil"/>
              <w:right w:val="nil"/>
            </w:tcBorders>
            <w:vAlign w:val="bottom"/>
            <w:hideMark/>
          </w:tcPr>
          <w:p w:rsidR="00000000" w:rsidRDefault="00F41510">
            <w:pPr>
              <w:jc w:val="center"/>
              <w:rPr>
                <w:b/>
                <w:bCs/>
              </w:rPr>
            </w:pPr>
            <w:r>
              <w:rPr>
                <w:rStyle w:val="font61"/>
                <w:rFonts w:hint="default"/>
                <w:b/>
                <w:bCs/>
              </w:rPr>
              <w:t xml:space="preserve"> </w:t>
            </w:r>
          </w:p>
        </w:tc>
      </w:tr>
    </w:tbl>
    <w:p w:rsidR="00000000" w:rsidRDefault="00F41510">
      <w:pPr>
        <w:jc w:val="center"/>
        <w:rPr>
          <w:rFonts w:ascii="黑体" w:eastAsia="黑体" w:hAnsi="黑体" w:hint="eastAsia"/>
          <w:b/>
          <w:bCs/>
          <w:sz w:val="30"/>
          <w:u w:val="single"/>
        </w:rPr>
      </w:pPr>
    </w:p>
    <w:p w:rsidR="000E54A8" w:rsidRDefault="000E54A8">
      <w:pPr>
        <w:jc w:val="center"/>
        <w:rPr>
          <w:rFonts w:ascii="黑体" w:eastAsia="黑体" w:hAnsi="黑体" w:hint="eastAsia"/>
          <w:b/>
          <w:bCs/>
          <w:sz w:val="30"/>
          <w:u w:val="single"/>
        </w:rPr>
      </w:pPr>
    </w:p>
    <w:p w:rsidR="000E54A8" w:rsidRDefault="000E54A8">
      <w:pPr>
        <w:jc w:val="center"/>
        <w:rPr>
          <w:rFonts w:ascii="黑体" w:eastAsia="黑体" w:hAnsi="黑体" w:hint="eastAsia"/>
          <w:b/>
          <w:bCs/>
          <w:sz w:val="30"/>
          <w:u w:val="single"/>
        </w:rPr>
      </w:pPr>
    </w:p>
    <w:p w:rsidR="00000000" w:rsidRDefault="00F41510">
      <w:pPr>
        <w:jc w:val="center"/>
        <w:rPr>
          <w:rFonts w:hint="eastAsia"/>
          <w:u w:val="single"/>
        </w:rPr>
      </w:pPr>
    </w:p>
    <w:p w:rsidR="00000000" w:rsidRDefault="00F41510">
      <w:pPr>
        <w:jc w:val="center"/>
      </w:pPr>
      <w:r>
        <w:rPr>
          <w:rStyle w:val="font61"/>
          <w:rFonts w:hint="default"/>
          <w:b/>
          <w:bCs/>
        </w:rPr>
        <w:t>国家事业单位登记管理局制</w:t>
      </w:r>
    </w:p>
    <w:p w:rsidR="00000000" w:rsidRDefault="00F41510">
      <w:pPr>
        <w:rPr>
          <w:u w:val="single"/>
        </w:rPr>
      </w:pPr>
    </w:p>
    <w:tbl>
      <w:tblPr>
        <w:tblW w:w="0" w:type="auto"/>
        <w:jc w:val="center"/>
        <w:tblInd w:w="108" w:type="dxa"/>
        <w:tblBorders>
          <w:top w:val="single" w:sz="12" w:space="0" w:color="auto"/>
          <w:left w:val="single" w:sz="12" w:space="0" w:color="auto"/>
          <w:bottom w:val="single" w:sz="12" w:space="0" w:color="auto"/>
          <w:right w:val="single" w:sz="12" w:space="0" w:color="auto"/>
        </w:tblBorders>
        <w:tblLook w:val="04A0"/>
      </w:tblPr>
      <w:tblGrid>
        <w:gridCol w:w="2086"/>
        <w:gridCol w:w="2276"/>
        <w:gridCol w:w="1461"/>
        <w:gridCol w:w="1902"/>
        <w:gridCol w:w="1928"/>
      </w:tblGrid>
      <w:tr w:rsidR="00000000" w:rsidTr="000E54A8">
        <w:trPr>
          <w:trHeight w:val="1015"/>
          <w:jc w:val="center"/>
        </w:trPr>
        <w:tc>
          <w:tcPr>
            <w:tcW w:w="2086" w:type="dxa"/>
            <w:vMerge w:val="restart"/>
            <w:tcBorders>
              <w:top w:val="single" w:sz="12" w:space="0" w:color="auto"/>
              <w:left w:val="single" w:sz="12" w:space="0" w:color="auto"/>
              <w:bottom w:val="single" w:sz="4" w:space="0" w:color="auto"/>
              <w:right w:val="single" w:sz="4" w:space="0" w:color="auto"/>
            </w:tcBorders>
            <w:tcMar>
              <w:top w:w="0" w:type="dxa"/>
              <w:left w:w="0" w:type="dxa"/>
              <w:bottom w:w="0" w:type="dxa"/>
              <w:right w:w="108" w:type="dxa"/>
            </w:tcMar>
            <w:vAlign w:val="center"/>
            <w:hideMark/>
          </w:tcPr>
          <w:p w:rsidR="00000000" w:rsidRDefault="00F41510">
            <w:pPr>
              <w:jc w:val="center"/>
              <w:rPr>
                <w:rFonts w:hint="eastAsia"/>
              </w:rPr>
            </w:pPr>
            <w:r>
              <w:rPr>
                <w:rStyle w:val="font61"/>
                <w:rFonts w:hint="default"/>
                <w:b/>
                <w:bCs/>
              </w:rPr>
              <w:lastRenderedPageBreak/>
              <w:t>《事业</w:t>
            </w:r>
          </w:p>
          <w:p w:rsidR="00000000" w:rsidRDefault="00F41510">
            <w:pPr>
              <w:jc w:val="center"/>
            </w:pPr>
            <w:r>
              <w:rPr>
                <w:rStyle w:val="font61"/>
                <w:rFonts w:hint="default"/>
                <w:b/>
                <w:bCs/>
              </w:rPr>
              <w:t>单位</w:t>
            </w:r>
          </w:p>
          <w:p w:rsidR="00000000" w:rsidRDefault="00F41510">
            <w:pPr>
              <w:jc w:val="center"/>
            </w:pPr>
            <w:r>
              <w:rPr>
                <w:rStyle w:val="font61"/>
                <w:rFonts w:hint="default"/>
                <w:b/>
                <w:bCs/>
              </w:rPr>
              <w:t>法人</w:t>
            </w:r>
          </w:p>
          <w:p w:rsidR="00000000" w:rsidRDefault="00F41510">
            <w:pPr>
              <w:jc w:val="center"/>
            </w:pPr>
            <w:r>
              <w:rPr>
                <w:rStyle w:val="font61"/>
                <w:rFonts w:hint="default"/>
                <w:b/>
                <w:bCs/>
              </w:rPr>
              <w:t>证书》</w:t>
            </w:r>
          </w:p>
          <w:p w:rsidR="00000000" w:rsidRDefault="00F41510">
            <w:pPr>
              <w:jc w:val="center"/>
            </w:pPr>
            <w:r>
              <w:rPr>
                <w:rStyle w:val="font61"/>
                <w:rFonts w:hint="default"/>
                <w:b/>
                <w:bCs/>
              </w:rPr>
              <w:t>登载</w:t>
            </w:r>
          </w:p>
          <w:p w:rsidR="00000000" w:rsidRDefault="00F41510">
            <w:pPr>
              <w:jc w:val="center"/>
            </w:pPr>
            <w:r>
              <w:rPr>
                <w:rStyle w:val="font61"/>
                <w:rFonts w:hint="default"/>
                <w:b/>
                <w:bCs/>
              </w:rPr>
              <w:t>事项</w:t>
            </w:r>
          </w:p>
        </w:tc>
        <w:tc>
          <w:tcPr>
            <w:tcW w:w="2276" w:type="dxa"/>
            <w:tcBorders>
              <w:top w:val="single" w:sz="12"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b/>
                <w:bCs/>
              </w:rPr>
              <w:t>单位名称</w:t>
            </w:r>
          </w:p>
        </w:tc>
        <w:tc>
          <w:tcPr>
            <w:tcW w:w="5291" w:type="dxa"/>
            <w:gridSpan w:val="3"/>
            <w:tcBorders>
              <w:top w:val="single" w:sz="12" w:space="0" w:color="auto"/>
              <w:left w:val="single" w:sz="4" w:space="0" w:color="auto"/>
              <w:bottom w:val="single" w:sz="4" w:space="0" w:color="auto"/>
              <w:right w:val="single" w:sz="12" w:space="0" w:color="auto"/>
            </w:tcBorders>
            <w:vAlign w:val="center"/>
            <w:hideMark/>
          </w:tcPr>
          <w:p w:rsidR="00000000" w:rsidRDefault="00F41510">
            <w:pPr>
              <w:spacing w:line="320" w:lineRule="exact"/>
              <w:jc w:val="left"/>
            </w:pPr>
            <w:r>
              <w:rPr>
                <w:rStyle w:val="font71"/>
                <w:rFonts w:hint="default"/>
              </w:rPr>
              <w:t>郴州市第一人民医院</w:t>
            </w:r>
          </w:p>
        </w:tc>
      </w:tr>
      <w:tr w:rsidR="00000000" w:rsidTr="000E54A8">
        <w:trPr>
          <w:trHeight w:val="1716"/>
          <w:jc w:val="center"/>
        </w:trPr>
        <w:tc>
          <w:tcPr>
            <w:tcW w:w="0" w:type="auto"/>
            <w:vMerge/>
            <w:tcBorders>
              <w:top w:val="single" w:sz="12" w:space="0" w:color="auto"/>
              <w:left w:val="single" w:sz="12" w:space="0" w:color="auto"/>
              <w:bottom w:val="single" w:sz="4" w:space="0" w:color="auto"/>
              <w:right w:val="single" w:sz="4" w:space="0" w:color="auto"/>
            </w:tcBorders>
            <w:vAlign w:val="center"/>
            <w:hideMark/>
          </w:tcPr>
          <w:p w:rsidR="00000000" w:rsidRDefault="00F41510">
            <w:pPr>
              <w:widowControl/>
              <w:jc w:val="left"/>
            </w:pPr>
          </w:p>
        </w:tc>
        <w:tc>
          <w:tcPr>
            <w:tcW w:w="2276" w:type="dxa"/>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rPr>
                <w:rFonts w:hint="eastAsia"/>
              </w:rPr>
            </w:pPr>
            <w:r>
              <w:rPr>
                <w:rStyle w:val="font61"/>
                <w:rFonts w:hint="default"/>
                <w:b/>
                <w:bCs/>
              </w:rPr>
              <w:t>宗</w:t>
            </w:r>
            <w:r>
              <w:rPr>
                <w:rStyle w:val="font61"/>
                <w:rFonts w:hint="default"/>
                <w:b/>
                <w:bCs/>
              </w:rPr>
              <w:t xml:space="preserve"> </w:t>
            </w:r>
            <w:r>
              <w:rPr>
                <w:rStyle w:val="font61"/>
                <w:rFonts w:hint="default"/>
                <w:b/>
                <w:bCs/>
              </w:rPr>
              <w:t>旨</w:t>
            </w:r>
            <w:r>
              <w:rPr>
                <w:rStyle w:val="font61"/>
                <w:rFonts w:hint="default"/>
                <w:b/>
                <w:bCs/>
              </w:rPr>
              <w:t xml:space="preserve"> </w:t>
            </w:r>
            <w:r>
              <w:rPr>
                <w:rStyle w:val="font61"/>
                <w:rFonts w:hint="default"/>
                <w:b/>
                <w:bCs/>
              </w:rPr>
              <w:t>和</w:t>
            </w:r>
          </w:p>
          <w:p w:rsidR="00000000" w:rsidRDefault="00F41510">
            <w:pPr>
              <w:jc w:val="center"/>
            </w:pPr>
            <w:r>
              <w:rPr>
                <w:rStyle w:val="font61"/>
                <w:rFonts w:hint="default"/>
                <w:b/>
                <w:bCs/>
              </w:rPr>
              <w:t>业务范围</w:t>
            </w:r>
          </w:p>
        </w:tc>
        <w:tc>
          <w:tcPr>
            <w:tcW w:w="5291" w:type="dxa"/>
            <w:gridSpan w:val="3"/>
            <w:tcBorders>
              <w:top w:val="single" w:sz="4" w:space="0" w:color="auto"/>
              <w:left w:val="single" w:sz="4" w:space="0" w:color="auto"/>
              <w:bottom w:val="single" w:sz="4" w:space="0" w:color="auto"/>
              <w:right w:val="single" w:sz="12" w:space="0" w:color="auto"/>
            </w:tcBorders>
            <w:vAlign w:val="center"/>
            <w:hideMark/>
          </w:tcPr>
          <w:p w:rsidR="00000000" w:rsidRDefault="00F41510">
            <w:pPr>
              <w:spacing w:line="320" w:lineRule="exact"/>
              <w:jc w:val="left"/>
            </w:pPr>
            <w:r>
              <w:rPr>
                <w:rStyle w:val="font71"/>
                <w:rFonts w:hint="default"/>
              </w:rPr>
              <w:t>为人民身体健康提供医疗与护理保健服务</w:t>
            </w:r>
            <w:r>
              <w:rPr>
                <w:rStyle w:val="font71"/>
                <w:rFonts w:hint="default"/>
              </w:rPr>
              <w:t xml:space="preserve"> </w:t>
            </w:r>
            <w:r>
              <w:rPr>
                <w:rStyle w:val="font71"/>
                <w:rFonts w:hint="default"/>
              </w:rPr>
              <w:t>内科</w:t>
            </w:r>
            <w:r>
              <w:rPr>
                <w:rStyle w:val="font71"/>
                <w:rFonts w:hint="default"/>
              </w:rPr>
              <w:t xml:space="preserve"> </w:t>
            </w:r>
            <w:r>
              <w:rPr>
                <w:rStyle w:val="font71"/>
                <w:rFonts w:hint="default"/>
              </w:rPr>
              <w:t>外科</w:t>
            </w:r>
            <w:r>
              <w:rPr>
                <w:rStyle w:val="font71"/>
                <w:rFonts w:hint="default"/>
              </w:rPr>
              <w:t xml:space="preserve"> </w:t>
            </w:r>
            <w:r>
              <w:rPr>
                <w:rStyle w:val="font71"/>
                <w:rFonts w:hint="default"/>
              </w:rPr>
              <w:t>妇产科等诊疗与护理</w:t>
            </w:r>
            <w:r>
              <w:rPr>
                <w:rStyle w:val="font71"/>
                <w:rFonts w:hint="default"/>
              </w:rPr>
              <w:t xml:space="preserve"> </w:t>
            </w:r>
            <w:r>
              <w:rPr>
                <w:rStyle w:val="font71"/>
                <w:rFonts w:hint="default"/>
              </w:rPr>
              <w:t>医学教学</w:t>
            </w:r>
            <w:r>
              <w:rPr>
                <w:rStyle w:val="font71"/>
                <w:rFonts w:hint="default"/>
              </w:rPr>
              <w:t xml:space="preserve"> </w:t>
            </w:r>
            <w:r>
              <w:rPr>
                <w:rStyle w:val="font71"/>
                <w:rFonts w:hint="default"/>
              </w:rPr>
              <w:t>医疗人员培训</w:t>
            </w:r>
            <w:r>
              <w:rPr>
                <w:rStyle w:val="font71"/>
                <w:rFonts w:hint="default"/>
              </w:rPr>
              <w:t xml:space="preserve"> </w:t>
            </w:r>
            <w:r>
              <w:rPr>
                <w:rStyle w:val="font71"/>
                <w:rFonts w:hint="default"/>
              </w:rPr>
              <w:t>卫生技术人员继续教育</w:t>
            </w:r>
            <w:r>
              <w:rPr>
                <w:rStyle w:val="font71"/>
                <w:rFonts w:hint="default"/>
              </w:rPr>
              <w:t xml:space="preserve"> </w:t>
            </w:r>
            <w:r>
              <w:rPr>
                <w:rStyle w:val="font71"/>
                <w:rFonts w:hint="default"/>
              </w:rPr>
              <w:t>保健与健康教育</w:t>
            </w:r>
          </w:p>
        </w:tc>
      </w:tr>
      <w:tr w:rsidR="00000000" w:rsidTr="000E54A8">
        <w:trPr>
          <w:trHeight w:val="534"/>
          <w:jc w:val="center"/>
        </w:trPr>
        <w:tc>
          <w:tcPr>
            <w:tcW w:w="0" w:type="auto"/>
            <w:vMerge/>
            <w:tcBorders>
              <w:top w:val="single" w:sz="12" w:space="0" w:color="auto"/>
              <w:left w:val="single" w:sz="12" w:space="0" w:color="auto"/>
              <w:bottom w:val="single" w:sz="4" w:space="0" w:color="auto"/>
              <w:right w:val="single" w:sz="4" w:space="0" w:color="auto"/>
            </w:tcBorders>
            <w:vAlign w:val="center"/>
            <w:hideMark/>
          </w:tcPr>
          <w:p w:rsidR="00000000" w:rsidRDefault="00F41510">
            <w:pPr>
              <w:widowControl/>
              <w:jc w:val="left"/>
            </w:pPr>
          </w:p>
        </w:tc>
        <w:tc>
          <w:tcPr>
            <w:tcW w:w="2276" w:type="dxa"/>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b/>
                <w:bCs/>
              </w:rPr>
              <w:t>住</w:t>
            </w:r>
            <w:r>
              <w:rPr>
                <w:rStyle w:val="font61"/>
                <w:rFonts w:hint="default"/>
                <w:b/>
                <w:bCs/>
              </w:rPr>
              <w:t xml:space="preserve">    </w:t>
            </w:r>
            <w:r>
              <w:rPr>
                <w:rStyle w:val="font61"/>
                <w:rFonts w:hint="default"/>
                <w:b/>
                <w:bCs/>
              </w:rPr>
              <w:t>所</w:t>
            </w:r>
          </w:p>
        </w:tc>
        <w:tc>
          <w:tcPr>
            <w:tcW w:w="5291" w:type="dxa"/>
            <w:gridSpan w:val="3"/>
            <w:tcBorders>
              <w:top w:val="single" w:sz="4" w:space="0" w:color="auto"/>
              <w:left w:val="single" w:sz="4" w:space="0" w:color="auto"/>
              <w:bottom w:val="single" w:sz="4" w:space="0" w:color="auto"/>
              <w:right w:val="single" w:sz="12" w:space="0" w:color="auto"/>
            </w:tcBorders>
            <w:vAlign w:val="center"/>
            <w:hideMark/>
          </w:tcPr>
          <w:p w:rsidR="00000000" w:rsidRDefault="00F41510">
            <w:pPr>
              <w:spacing w:line="320" w:lineRule="exact"/>
              <w:jc w:val="left"/>
            </w:pPr>
            <w:r>
              <w:rPr>
                <w:rStyle w:val="font71"/>
                <w:rFonts w:hint="default"/>
              </w:rPr>
              <w:t>郴州市罗家井１０２号</w:t>
            </w:r>
          </w:p>
        </w:tc>
      </w:tr>
      <w:tr w:rsidR="00000000" w:rsidTr="000E54A8">
        <w:trPr>
          <w:trHeight w:val="534"/>
          <w:jc w:val="center"/>
        </w:trPr>
        <w:tc>
          <w:tcPr>
            <w:tcW w:w="0" w:type="auto"/>
            <w:vMerge/>
            <w:tcBorders>
              <w:top w:val="single" w:sz="12" w:space="0" w:color="auto"/>
              <w:left w:val="single" w:sz="12" w:space="0" w:color="auto"/>
              <w:bottom w:val="single" w:sz="4" w:space="0" w:color="auto"/>
              <w:right w:val="single" w:sz="4" w:space="0" w:color="auto"/>
            </w:tcBorders>
            <w:vAlign w:val="center"/>
            <w:hideMark/>
          </w:tcPr>
          <w:p w:rsidR="00000000" w:rsidRDefault="00F41510">
            <w:pPr>
              <w:widowControl/>
              <w:jc w:val="left"/>
            </w:pPr>
          </w:p>
        </w:tc>
        <w:tc>
          <w:tcPr>
            <w:tcW w:w="2276" w:type="dxa"/>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b/>
                <w:bCs/>
              </w:rPr>
              <w:t>法定代表人</w:t>
            </w:r>
          </w:p>
        </w:tc>
        <w:tc>
          <w:tcPr>
            <w:tcW w:w="5291" w:type="dxa"/>
            <w:gridSpan w:val="3"/>
            <w:tcBorders>
              <w:top w:val="single" w:sz="4" w:space="0" w:color="auto"/>
              <w:left w:val="single" w:sz="4" w:space="0" w:color="auto"/>
              <w:bottom w:val="single" w:sz="4" w:space="0" w:color="auto"/>
              <w:right w:val="single" w:sz="12" w:space="0" w:color="auto"/>
            </w:tcBorders>
            <w:vAlign w:val="center"/>
            <w:hideMark/>
          </w:tcPr>
          <w:p w:rsidR="00000000" w:rsidRDefault="00F41510">
            <w:pPr>
              <w:spacing w:line="320" w:lineRule="exact"/>
              <w:jc w:val="left"/>
            </w:pPr>
            <w:r>
              <w:rPr>
                <w:rStyle w:val="font71"/>
                <w:rFonts w:hint="default"/>
              </w:rPr>
              <w:t>方力</w:t>
            </w:r>
          </w:p>
        </w:tc>
      </w:tr>
      <w:tr w:rsidR="00000000" w:rsidTr="000E54A8">
        <w:trPr>
          <w:trHeight w:val="534"/>
          <w:jc w:val="center"/>
        </w:trPr>
        <w:tc>
          <w:tcPr>
            <w:tcW w:w="0" w:type="auto"/>
            <w:vMerge/>
            <w:tcBorders>
              <w:top w:val="single" w:sz="12" w:space="0" w:color="auto"/>
              <w:left w:val="single" w:sz="12" w:space="0" w:color="auto"/>
              <w:bottom w:val="single" w:sz="4" w:space="0" w:color="auto"/>
              <w:right w:val="single" w:sz="4" w:space="0" w:color="auto"/>
            </w:tcBorders>
            <w:vAlign w:val="center"/>
            <w:hideMark/>
          </w:tcPr>
          <w:p w:rsidR="00000000" w:rsidRDefault="00F41510">
            <w:pPr>
              <w:widowControl/>
              <w:jc w:val="left"/>
            </w:pPr>
          </w:p>
        </w:tc>
        <w:tc>
          <w:tcPr>
            <w:tcW w:w="2276" w:type="dxa"/>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b/>
                <w:bCs/>
              </w:rPr>
              <w:t>开办资金</w:t>
            </w:r>
          </w:p>
        </w:tc>
        <w:tc>
          <w:tcPr>
            <w:tcW w:w="5291" w:type="dxa"/>
            <w:gridSpan w:val="3"/>
            <w:tcBorders>
              <w:top w:val="single" w:sz="4" w:space="0" w:color="auto"/>
              <w:left w:val="single" w:sz="4" w:space="0" w:color="auto"/>
              <w:bottom w:val="single" w:sz="4" w:space="0" w:color="auto"/>
              <w:right w:val="single" w:sz="12" w:space="0" w:color="auto"/>
            </w:tcBorders>
            <w:vAlign w:val="center"/>
            <w:hideMark/>
          </w:tcPr>
          <w:p w:rsidR="00000000" w:rsidRDefault="00F41510">
            <w:pPr>
              <w:jc w:val="left"/>
            </w:pPr>
            <w:r>
              <w:rPr>
                <w:rStyle w:val="font61"/>
                <w:rFonts w:hint="default"/>
              </w:rPr>
              <w:t>213324</w:t>
            </w:r>
            <w:r>
              <w:rPr>
                <w:rStyle w:val="font61"/>
                <w:rFonts w:hint="default"/>
              </w:rPr>
              <w:t>万元</w:t>
            </w:r>
          </w:p>
        </w:tc>
      </w:tr>
      <w:tr w:rsidR="00000000" w:rsidTr="000E54A8">
        <w:trPr>
          <w:trHeight w:val="534"/>
          <w:jc w:val="center"/>
        </w:trPr>
        <w:tc>
          <w:tcPr>
            <w:tcW w:w="0" w:type="auto"/>
            <w:vMerge/>
            <w:tcBorders>
              <w:top w:val="single" w:sz="12" w:space="0" w:color="auto"/>
              <w:left w:val="single" w:sz="12" w:space="0" w:color="auto"/>
              <w:bottom w:val="single" w:sz="4" w:space="0" w:color="auto"/>
              <w:right w:val="single" w:sz="4" w:space="0" w:color="auto"/>
            </w:tcBorders>
            <w:vAlign w:val="center"/>
            <w:hideMark/>
          </w:tcPr>
          <w:p w:rsidR="00000000" w:rsidRDefault="00F41510">
            <w:pPr>
              <w:widowControl/>
              <w:jc w:val="left"/>
            </w:pPr>
          </w:p>
        </w:tc>
        <w:tc>
          <w:tcPr>
            <w:tcW w:w="2276" w:type="dxa"/>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b/>
                <w:bCs/>
              </w:rPr>
              <w:t>经费来源</w:t>
            </w:r>
          </w:p>
        </w:tc>
        <w:tc>
          <w:tcPr>
            <w:tcW w:w="5291" w:type="dxa"/>
            <w:gridSpan w:val="3"/>
            <w:tcBorders>
              <w:top w:val="single" w:sz="4" w:space="0" w:color="auto"/>
              <w:left w:val="single" w:sz="4" w:space="0" w:color="auto"/>
              <w:bottom w:val="single" w:sz="4" w:space="0" w:color="auto"/>
              <w:right w:val="single" w:sz="12" w:space="0" w:color="auto"/>
            </w:tcBorders>
            <w:vAlign w:val="center"/>
            <w:hideMark/>
          </w:tcPr>
          <w:p w:rsidR="00000000" w:rsidRDefault="00F41510">
            <w:pPr>
              <w:spacing w:line="320" w:lineRule="exact"/>
              <w:jc w:val="left"/>
            </w:pPr>
            <w:r>
              <w:rPr>
                <w:rStyle w:val="font71"/>
                <w:rFonts w:hint="default"/>
              </w:rPr>
              <w:t>财政补助</w:t>
            </w:r>
            <w:r>
              <w:rPr>
                <w:rStyle w:val="font71"/>
                <w:rFonts w:hint="default"/>
              </w:rPr>
              <w:t xml:space="preserve"> </w:t>
            </w:r>
            <w:r>
              <w:rPr>
                <w:rStyle w:val="font71"/>
                <w:rFonts w:hint="default"/>
              </w:rPr>
              <w:t>（差额补贴）</w:t>
            </w:r>
            <w:r>
              <w:rPr>
                <w:rStyle w:val="font71"/>
                <w:rFonts w:hint="default"/>
              </w:rPr>
              <w:t xml:space="preserve"> </w:t>
            </w:r>
          </w:p>
        </w:tc>
      </w:tr>
      <w:tr w:rsidR="00000000" w:rsidTr="000E54A8">
        <w:trPr>
          <w:trHeight w:val="534"/>
          <w:jc w:val="center"/>
        </w:trPr>
        <w:tc>
          <w:tcPr>
            <w:tcW w:w="0" w:type="auto"/>
            <w:vMerge/>
            <w:tcBorders>
              <w:top w:val="single" w:sz="12" w:space="0" w:color="auto"/>
              <w:left w:val="single" w:sz="12" w:space="0" w:color="auto"/>
              <w:bottom w:val="single" w:sz="4" w:space="0" w:color="auto"/>
              <w:right w:val="single" w:sz="4" w:space="0" w:color="auto"/>
            </w:tcBorders>
            <w:vAlign w:val="center"/>
            <w:hideMark/>
          </w:tcPr>
          <w:p w:rsidR="00000000" w:rsidRDefault="00F41510">
            <w:pPr>
              <w:widowControl/>
              <w:jc w:val="left"/>
            </w:pPr>
          </w:p>
        </w:tc>
        <w:tc>
          <w:tcPr>
            <w:tcW w:w="2276" w:type="dxa"/>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b/>
                <w:bCs/>
              </w:rPr>
              <w:t>举办单位</w:t>
            </w:r>
          </w:p>
        </w:tc>
        <w:tc>
          <w:tcPr>
            <w:tcW w:w="5291" w:type="dxa"/>
            <w:gridSpan w:val="3"/>
            <w:tcBorders>
              <w:top w:val="single" w:sz="4" w:space="0" w:color="auto"/>
              <w:left w:val="single" w:sz="4" w:space="0" w:color="auto"/>
              <w:bottom w:val="single" w:sz="4" w:space="0" w:color="auto"/>
              <w:right w:val="single" w:sz="12" w:space="0" w:color="auto"/>
            </w:tcBorders>
            <w:vAlign w:val="center"/>
            <w:hideMark/>
          </w:tcPr>
          <w:p w:rsidR="00000000" w:rsidRDefault="00F41510">
            <w:pPr>
              <w:spacing w:line="320" w:lineRule="exact"/>
              <w:jc w:val="left"/>
            </w:pPr>
            <w:r>
              <w:rPr>
                <w:rStyle w:val="font71"/>
                <w:rFonts w:hint="default"/>
              </w:rPr>
              <w:t>郴州市卫生健康委员会</w:t>
            </w:r>
          </w:p>
        </w:tc>
      </w:tr>
      <w:tr w:rsidR="00000000" w:rsidTr="000E54A8">
        <w:trPr>
          <w:trHeight w:val="674"/>
          <w:jc w:val="center"/>
        </w:trPr>
        <w:tc>
          <w:tcPr>
            <w:tcW w:w="2086" w:type="dxa"/>
            <w:vMerge w:val="restart"/>
            <w:tcBorders>
              <w:top w:val="single" w:sz="4" w:space="0" w:color="auto"/>
              <w:left w:val="single" w:sz="12" w:space="0" w:color="auto"/>
              <w:bottom w:val="single" w:sz="4" w:space="0" w:color="auto"/>
              <w:right w:val="single" w:sz="4" w:space="0" w:color="auto"/>
            </w:tcBorders>
            <w:vAlign w:val="center"/>
            <w:hideMark/>
          </w:tcPr>
          <w:p w:rsidR="00000000" w:rsidRDefault="00F41510">
            <w:pPr>
              <w:jc w:val="center"/>
              <w:rPr>
                <w:rFonts w:hint="eastAsia"/>
              </w:rPr>
            </w:pPr>
            <w:r>
              <w:rPr>
                <w:rStyle w:val="font61"/>
                <w:rFonts w:hint="default"/>
                <w:b/>
                <w:bCs/>
              </w:rPr>
              <w:t>资产</w:t>
            </w:r>
          </w:p>
          <w:p w:rsidR="00000000" w:rsidRDefault="00F41510">
            <w:pPr>
              <w:jc w:val="center"/>
            </w:pPr>
            <w:r>
              <w:rPr>
                <w:rStyle w:val="font61"/>
                <w:rFonts w:hint="default"/>
                <w:b/>
                <w:bCs/>
              </w:rPr>
              <w:t>损益</w:t>
            </w:r>
          </w:p>
          <w:p w:rsidR="00000000" w:rsidRDefault="00F41510">
            <w:pPr>
              <w:jc w:val="center"/>
            </w:pPr>
            <w:r>
              <w:rPr>
                <w:rStyle w:val="font61"/>
                <w:rFonts w:hint="default"/>
                <w:b/>
                <w:bCs/>
              </w:rPr>
              <w:t>情况</w:t>
            </w:r>
          </w:p>
        </w:tc>
        <w:tc>
          <w:tcPr>
            <w:tcW w:w="7567" w:type="dxa"/>
            <w:gridSpan w:val="4"/>
            <w:tcBorders>
              <w:top w:val="single" w:sz="4" w:space="0" w:color="auto"/>
              <w:left w:val="single" w:sz="4" w:space="0" w:color="auto"/>
              <w:bottom w:val="single" w:sz="4" w:space="0" w:color="auto"/>
              <w:right w:val="single" w:sz="12" w:space="0" w:color="auto"/>
            </w:tcBorders>
            <w:vAlign w:val="center"/>
            <w:hideMark/>
          </w:tcPr>
          <w:p w:rsidR="00000000" w:rsidRDefault="00F41510">
            <w:pPr>
              <w:jc w:val="center"/>
            </w:pPr>
            <w:r>
              <w:rPr>
                <w:rStyle w:val="font61"/>
                <w:rFonts w:hint="default"/>
                <w:b/>
                <w:bCs/>
              </w:rPr>
              <w:t>净资产合计（所有者权益合计）</w:t>
            </w:r>
          </w:p>
        </w:tc>
      </w:tr>
      <w:tr w:rsidR="00000000" w:rsidTr="000E54A8">
        <w:trPr>
          <w:trHeight w:val="674"/>
          <w:jc w:val="center"/>
        </w:trPr>
        <w:tc>
          <w:tcPr>
            <w:tcW w:w="0" w:type="auto"/>
            <w:vMerge/>
            <w:tcBorders>
              <w:top w:val="single" w:sz="4" w:space="0" w:color="auto"/>
              <w:left w:val="single" w:sz="12" w:space="0" w:color="auto"/>
              <w:bottom w:val="single" w:sz="4" w:space="0" w:color="auto"/>
              <w:right w:val="single" w:sz="4" w:space="0" w:color="auto"/>
            </w:tcBorders>
            <w:vAlign w:val="center"/>
            <w:hideMark/>
          </w:tcPr>
          <w:p w:rsidR="00000000" w:rsidRDefault="00F41510">
            <w:pPr>
              <w:widowControl/>
              <w:jc w:val="left"/>
            </w:pPr>
          </w:p>
        </w:tc>
        <w:tc>
          <w:tcPr>
            <w:tcW w:w="3737" w:type="dxa"/>
            <w:gridSpan w:val="2"/>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b/>
                <w:bCs/>
              </w:rPr>
              <w:t>年初数（万元）</w:t>
            </w:r>
          </w:p>
        </w:tc>
        <w:tc>
          <w:tcPr>
            <w:tcW w:w="3830" w:type="dxa"/>
            <w:gridSpan w:val="2"/>
            <w:tcBorders>
              <w:top w:val="single" w:sz="4" w:space="0" w:color="auto"/>
              <w:left w:val="single" w:sz="4" w:space="0" w:color="auto"/>
              <w:bottom w:val="single" w:sz="4" w:space="0" w:color="auto"/>
              <w:right w:val="single" w:sz="12" w:space="0" w:color="auto"/>
            </w:tcBorders>
            <w:vAlign w:val="center"/>
            <w:hideMark/>
          </w:tcPr>
          <w:p w:rsidR="00000000" w:rsidRDefault="00F41510">
            <w:pPr>
              <w:jc w:val="center"/>
            </w:pPr>
            <w:r>
              <w:rPr>
                <w:rStyle w:val="font61"/>
                <w:rFonts w:hint="default"/>
                <w:b/>
                <w:bCs/>
              </w:rPr>
              <w:t>年末数（万元）</w:t>
            </w:r>
          </w:p>
        </w:tc>
      </w:tr>
      <w:tr w:rsidR="00000000" w:rsidTr="000E54A8">
        <w:trPr>
          <w:trHeight w:val="674"/>
          <w:jc w:val="center"/>
        </w:trPr>
        <w:tc>
          <w:tcPr>
            <w:tcW w:w="0" w:type="auto"/>
            <w:vMerge/>
            <w:tcBorders>
              <w:top w:val="single" w:sz="4" w:space="0" w:color="auto"/>
              <w:left w:val="single" w:sz="12" w:space="0" w:color="auto"/>
              <w:bottom w:val="single" w:sz="4" w:space="0" w:color="auto"/>
              <w:right w:val="single" w:sz="4" w:space="0" w:color="auto"/>
            </w:tcBorders>
            <w:vAlign w:val="center"/>
            <w:hideMark/>
          </w:tcPr>
          <w:p w:rsidR="00000000" w:rsidRDefault="00F41510">
            <w:pPr>
              <w:widowControl/>
              <w:jc w:val="left"/>
            </w:pPr>
          </w:p>
        </w:tc>
        <w:tc>
          <w:tcPr>
            <w:tcW w:w="3737" w:type="dxa"/>
            <w:gridSpan w:val="2"/>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rPr>
              <w:t>213324</w:t>
            </w:r>
          </w:p>
        </w:tc>
        <w:tc>
          <w:tcPr>
            <w:tcW w:w="3830" w:type="dxa"/>
            <w:gridSpan w:val="2"/>
            <w:tcBorders>
              <w:top w:val="single" w:sz="4" w:space="0" w:color="auto"/>
              <w:left w:val="single" w:sz="4" w:space="0" w:color="auto"/>
              <w:bottom w:val="single" w:sz="4" w:space="0" w:color="auto"/>
              <w:right w:val="single" w:sz="12" w:space="0" w:color="auto"/>
            </w:tcBorders>
            <w:vAlign w:val="center"/>
            <w:hideMark/>
          </w:tcPr>
          <w:p w:rsidR="00000000" w:rsidRDefault="00F41510">
            <w:pPr>
              <w:jc w:val="center"/>
            </w:pPr>
            <w:r>
              <w:rPr>
                <w:rStyle w:val="font61"/>
                <w:rFonts w:hint="default"/>
              </w:rPr>
              <w:t>206969</w:t>
            </w:r>
          </w:p>
        </w:tc>
      </w:tr>
      <w:tr w:rsidR="00000000" w:rsidTr="000E54A8">
        <w:trPr>
          <w:trHeight w:val="674"/>
          <w:jc w:val="center"/>
        </w:trPr>
        <w:tc>
          <w:tcPr>
            <w:tcW w:w="2086" w:type="dxa"/>
            <w:tcBorders>
              <w:top w:val="single" w:sz="4" w:space="0" w:color="auto"/>
              <w:left w:val="single" w:sz="12" w:space="0" w:color="auto"/>
              <w:bottom w:val="single" w:sz="4" w:space="0" w:color="auto"/>
              <w:right w:val="single" w:sz="4" w:space="0" w:color="auto"/>
            </w:tcBorders>
            <w:vAlign w:val="center"/>
            <w:hideMark/>
          </w:tcPr>
          <w:p w:rsidR="00000000" w:rsidRDefault="00F41510">
            <w:pPr>
              <w:jc w:val="center"/>
            </w:pPr>
            <w:r>
              <w:rPr>
                <w:rStyle w:val="font61"/>
                <w:rFonts w:hint="default"/>
                <w:b/>
                <w:bCs/>
              </w:rPr>
              <w:t>网上名称</w:t>
            </w:r>
          </w:p>
        </w:tc>
        <w:tc>
          <w:tcPr>
            <w:tcW w:w="3737" w:type="dxa"/>
            <w:gridSpan w:val="2"/>
            <w:tcBorders>
              <w:top w:val="single" w:sz="4" w:space="0" w:color="auto"/>
              <w:left w:val="single" w:sz="4" w:space="0" w:color="auto"/>
              <w:bottom w:val="single" w:sz="4" w:space="0" w:color="auto"/>
              <w:right w:val="single" w:sz="4" w:space="0" w:color="auto"/>
            </w:tcBorders>
            <w:vAlign w:val="center"/>
            <w:hideMark/>
          </w:tcPr>
          <w:p w:rsidR="00000000" w:rsidRDefault="00F41510">
            <w:r>
              <w:rPr>
                <w:rStyle w:val="font61"/>
                <w:rFonts w:hint="default"/>
              </w:rPr>
              <w:t>无</w:t>
            </w:r>
          </w:p>
        </w:tc>
        <w:tc>
          <w:tcPr>
            <w:tcW w:w="1902" w:type="dxa"/>
            <w:tcBorders>
              <w:top w:val="single" w:sz="4" w:space="0" w:color="auto"/>
              <w:left w:val="single" w:sz="4" w:space="0" w:color="auto"/>
              <w:bottom w:val="single" w:sz="4" w:space="0" w:color="auto"/>
              <w:right w:val="single" w:sz="4" w:space="0" w:color="auto"/>
            </w:tcBorders>
            <w:vAlign w:val="center"/>
            <w:hideMark/>
          </w:tcPr>
          <w:p w:rsidR="00000000" w:rsidRDefault="00F41510">
            <w:pPr>
              <w:jc w:val="center"/>
            </w:pPr>
            <w:r>
              <w:rPr>
                <w:rStyle w:val="font61"/>
                <w:rFonts w:hint="default"/>
                <w:b/>
                <w:bCs/>
              </w:rPr>
              <w:t>从业人数</w:t>
            </w:r>
          </w:p>
        </w:tc>
        <w:tc>
          <w:tcPr>
            <w:tcW w:w="1928" w:type="dxa"/>
            <w:tcBorders>
              <w:top w:val="single" w:sz="4" w:space="0" w:color="auto"/>
              <w:left w:val="single" w:sz="4" w:space="0" w:color="auto"/>
              <w:bottom w:val="single" w:sz="4" w:space="0" w:color="auto"/>
              <w:right w:val="single" w:sz="12" w:space="0" w:color="auto"/>
            </w:tcBorders>
            <w:vAlign w:val="center"/>
            <w:hideMark/>
          </w:tcPr>
          <w:p w:rsidR="00000000" w:rsidRDefault="00F41510">
            <w:pPr>
              <w:jc w:val="center"/>
            </w:pPr>
            <w:r>
              <w:rPr>
                <w:rStyle w:val="font61"/>
                <w:rFonts w:hint="default"/>
              </w:rPr>
              <w:t>5137</w:t>
            </w:r>
          </w:p>
        </w:tc>
      </w:tr>
      <w:tr w:rsidR="00000000" w:rsidTr="000E54A8">
        <w:trPr>
          <w:trHeight w:val="4995"/>
          <w:jc w:val="center"/>
        </w:trPr>
        <w:tc>
          <w:tcPr>
            <w:tcW w:w="2086" w:type="dxa"/>
            <w:tcBorders>
              <w:top w:val="single" w:sz="4" w:space="0" w:color="auto"/>
              <w:left w:val="single" w:sz="12" w:space="0" w:color="auto"/>
              <w:bottom w:val="single" w:sz="12" w:space="0" w:color="auto"/>
              <w:right w:val="single" w:sz="4" w:space="0" w:color="auto"/>
            </w:tcBorders>
            <w:vAlign w:val="center"/>
            <w:hideMark/>
          </w:tcPr>
          <w:p w:rsidR="00000000" w:rsidRDefault="00F41510">
            <w:pPr>
              <w:jc w:val="center"/>
              <w:rPr>
                <w:rFonts w:hint="eastAsia"/>
              </w:rPr>
            </w:pPr>
            <w:r>
              <w:rPr>
                <w:rStyle w:val="font61"/>
                <w:rFonts w:hint="default"/>
                <w:b/>
                <w:bCs/>
              </w:rPr>
              <w:t>对《条</w:t>
            </w:r>
          </w:p>
          <w:p w:rsidR="00000000" w:rsidRDefault="00F41510">
            <w:pPr>
              <w:jc w:val="center"/>
            </w:pPr>
            <w:r>
              <w:rPr>
                <w:rStyle w:val="font61"/>
                <w:rFonts w:hint="default"/>
                <w:b/>
                <w:bCs/>
              </w:rPr>
              <w:t>例》和</w:t>
            </w:r>
          </w:p>
          <w:p w:rsidR="00000000" w:rsidRDefault="00F41510">
            <w:pPr>
              <w:jc w:val="center"/>
            </w:pPr>
            <w:r>
              <w:rPr>
                <w:rStyle w:val="font61"/>
                <w:rFonts w:hint="default"/>
                <w:b/>
                <w:bCs/>
              </w:rPr>
              <w:t>实施细</w:t>
            </w:r>
          </w:p>
          <w:p w:rsidR="00000000" w:rsidRDefault="00F41510">
            <w:pPr>
              <w:jc w:val="center"/>
            </w:pPr>
            <w:r>
              <w:rPr>
                <w:rStyle w:val="font61"/>
                <w:rFonts w:hint="default"/>
                <w:b/>
                <w:bCs/>
              </w:rPr>
              <w:t>则有关</w:t>
            </w:r>
          </w:p>
          <w:p w:rsidR="00000000" w:rsidRDefault="00F41510">
            <w:pPr>
              <w:jc w:val="center"/>
            </w:pPr>
            <w:r>
              <w:rPr>
                <w:rStyle w:val="font61"/>
                <w:rFonts w:hint="default"/>
                <w:b/>
                <w:bCs/>
              </w:rPr>
              <w:t>变更登</w:t>
            </w:r>
          </w:p>
          <w:p w:rsidR="00000000" w:rsidRDefault="00F41510">
            <w:pPr>
              <w:jc w:val="center"/>
            </w:pPr>
            <w:r>
              <w:rPr>
                <w:rStyle w:val="font61"/>
                <w:rFonts w:hint="default"/>
                <w:b/>
                <w:bCs/>
              </w:rPr>
              <w:t>记规定</w:t>
            </w:r>
          </w:p>
          <w:p w:rsidR="00000000" w:rsidRDefault="00F41510">
            <w:pPr>
              <w:jc w:val="center"/>
            </w:pPr>
            <w:r>
              <w:rPr>
                <w:rStyle w:val="font61"/>
                <w:rFonts w:hint="default"/>
                <w:b/>
                <w:bCs/>
              </w:rPr>
              <w:t>的执行</w:t>
            </w:r>
          </w:p>
          <w:p w:rsidR="00000000" w:rsidRDefault="00F41510">
            <w:pPr>
              <w:jc w:val="center"/>
            </w:pPr>
            <w:r>
              <w:rPr>
                <w:rStyle w:val="font61"/>
                <w:rFonts w:hint="default"/>
                <w:b/>
                <w:bCs/>
              </w:rPr>
              <w:t>情</w:t>
            </w:r>
            <w:r>
              <w:rPr>
                <w:rStyle w:val="font61"/>
                <w:rFonts w:hint="default"/>
                <w:b/>
                <w:bCs/>
              </w:rPr>
              <w:t xml:space="preserve"> </w:t>
            </w:r>
            <w:r>
              <w:rPr>
                <w:rStyle w:val="font61"/>
                <w:rFonts w:hint="default"/>
                <w:b/>
                <w:bCs/>
              </w:rPr>
              <w:t>况</w:t>
            </w:r>
          </w:p>
        </w:tc>
        <w:tc>
          <w:tcPr>
            <w:tcW w:w="7567" w:type="dxa"/>
            <w:gridSpan w:val="4"/>
            <w:tcBorders>
              <w:top w:val="single" w:sz="4" w:space="0" w:color="auto"/>
              <w:left w:val="single" w:sz="4" w:space="0" w:color="auto"/>
              <w:bottom w:val="single" w:sz="12" w:space="0" w:color="auto"/>
              <w:right w:val="single" w:sz="12" w:space="0" w:color="auto"/>
            </w:tcBorders>
            <w:hideMark/>
          </w:tcPr>
          <w:p w:rsidR="00000000" w:rsidRDefault="00F41510">
            <w:pPr>
              <w:jc w:val="left"/>
            </w:pPr>
            <w:r>
              <w:rPr>
                <w:rStyle w:val="font71"/>
                <w:rFonts w:hint="default"/>
              </w:rPr>
              <w:t>无</w:t>
            </w:r>
          </w:p>
        </w:tc>
      </w:tr>
      <w:tr w:rsidR="00000000" w:rsidTr="000E54A8">
        <w:trPr>
          <w:trHeight w:val="13900"/>
          <w:jc w:val="center"/>
        </w:trPr>
        <w:tc>
          <w:tcPr>
            <w:tcW w:w="2086" w:type="dxa"/>
            <w:tcBorders>
              <w:top w:val="single" w:sz="12" w:space="0" w:color="auto"/>
              <w:left w:val="single" w:sz="12" w:space="0" w:color="auto"/>
              <w:bottom w:val="single" w:sz="12" w:space="0" w:color="auto"/>
              <w:right w:val="single" w:sz="4" w:space="0" w:color="auto"/>
            </w:tcBorders>
            <w:vAlign w:val="center"/>
            <w:hideMark/>
          </w:tcPr>
          <w:p w:rsidR="00000000" w:rsidRDefault="00F41510">
            <w:pPr>
              <w:jc w:val="center"/>
              <w:rPr>
                <w:rFonts w:hint="eastAsia"/>
              </w:rPr>
            </w:pPr>
            <w:r>
              <w:rPr>
                <w:rStyle w:val="font61"/>
                <w:rFonts w:hint="default"/>
                <w:b/>
                <w:bCs/>
              </w:rPr>
              <w:lastRenderedPageBreak/>
              <w:t>开</w:t>
            </w:r>
          </w:p>
          <w:p w:rsidR="00000000" w:rsidRDefault="00F41510">
            <w:pPr>
              <w:jc w:val="center"/>
            </w:pPr>
            <w:r>
              <w:rPr>
                <w:rStyle w:val="font61"/>
                <w:rFonts w:hint="default"/>
                <w:b/>
                <w:bCs/>
              </w:rPr>
              <w:t>展</w:t>
            </w:r>
          </w:p>
          <w:p w:rsidR="00000000" w:rsidRDefault="00F41510">
            <w:pPr>
              <w:jc w:val="center"/>
            </w:pPr>
            <w:r>
              <w:rPr>
                <w:rStyle w:val="font61"/>
                <w:rFonts w:hint="default"/>
                <w:b/>
                <w:bCs/>
              </w:rPr>
              <w:t>业</w:t>
            </w:r>
          </w:p>
          <w:p w:rsidR="00000000" w:rsidRDefault="00F41510">
            <w:pPr>
              <w:jc w:val="center"/>
            </w:pPr>
            <w:r>
              <w:rPr>
                <w:rStyle w:val="font61"/>
                <w:rFonts w:hint="default"/>
                <w:b/>
                <w:bCs/>
              </w:rPr>
              <w:t>务</w:t>
            </w:r>
          </w:p>
          <w:p w:rsidR="00000000" w:rsidRDefault="00F41510">
            <w:pPr>
              <w:jc w:val="center"/>
            </w:pPr>
            <w:r>
              <w:rPr>
                <w:rStyle w:val="font61"/>
                <w:rFonts w:hint="default"/>
                <w:b/>
                <w:bCs/>
              </w:rPr>
              <w:t>活</w:t>
            </w:r>
          </w:p>
          <w:p w:rsidR="00000000" w:rsidRDefault="00F41510">
            <w:pPr>
              <w:jc w:val="center"/>
            </w:pPr>
            <w:r>
              <w:rPr>
                <w:rStyle w:val="font61"/>
                <w:rFonts w:hint="default"/>
                <w:b/>
                <w:bCs/>
              </w:rPr>
              <w:t>动</w:t>
            </w:r>
          </w:p>
          <w:p w:rsidR="00000000" w:rsidRDefault="00F41510">
            <w:pPr>
              <w:jc w:val="center"/>
            </w:pPr>
            <w:r>
              <w:rPr>
                <w:rStyle w:val="font61"/>
                <w:rFonts w:hint="default"/>
                <w:b/>
                <w:bCs/>
              </w:rPr>
              <w:t>情</w:t>
            </w:r>
          </w:p>
          <w:p w:rsidR="00000000" w:rsidRDefault="00F41510">
            <w:pPr>
              <w:jc w:val="center"/>
            </w:pPr>
            <w:r>
              <w:rPr>
                <w:rStyle w:val="font61"/>
                <w:rFonts w:hint="default"/>
                <w:b/>
                <w:bCs/>
              </w:rPr>
              <w:t>况</w:t>
            </w:r>
          </w:p>
        </w:tc>
        <w:tc>
          <w:tcPr>
            <w:tcW w:w="7567" w:type="dxa"/>
            <w:gridSpan w:val="4"/>
            <w:tcBorders>
              <w:top w:val="single" w:sz="12" w:space="0" w:color="auto"/>
              <w:left w:val="single" w:sz="4" w:space="0" w:color="auto"/>
              <w:bottom w:val="single" w:sz="12" w:space="0" w:color="auto"/>
              <w:right w:val="single" w:sz="12" w:space="0" w:color="auto"/>
            </w:tcBorders>
            <w:hideMark/>
          </w:tcPr>
          <w:p w:rsidR="00000000" w:rsidRDefault="00F41510">
            <w:pPr>
              <w:jc w:val="left"/>
            </w:pPr>
            <w:r>
              <w:rPr>
                <w:rStyle w:val="font61"/>
                <w:rFonts w:hint="default"/>
              </w:rPr>
              <w:t>一、重点工作成绩斐然。成功创建湖南省高质量发展示范性。对照建设标准和绩效考核目标，积极推进创建工作，医院入选国家卫健委</w:t>
            </w:r>
            <w:r>
              <w:rPr>
                <w:rStyle w:val="font61"/>
                <w:rFonts w:hint="default"/>
              </w:rPr>
              <w:t>“</w:t>
            </w:r>
            <w:r>
              <w:rPr>
                <w:rStyle w:val="font61"/>
                <w:rFonts w:hint="default"/>
              </w:rPr>
              <w:t>公立医院高质量发展医疗服务能力提升项目建设单位</w:t>
            </w:r>
            <w:r>
              <w:rPr>
                <w:rStyle w:val="font61"/>
                <w:rFonts w:hint="default"/>
              </w:rPr>
              <w:t>”</w:t>
            </w:r>
            <w:r>
              <w:rPr>
                <w:rStyle w:val="font61"/>
                <w:rFonts w:hint="default"/>
              </w:rPr>
              <w:t>，成为湖南省第一批高质量发展示范性医院，是湖南省入围的</w:t>
            </w:r>
            <w:r>
              <w:rPr>
                <w:rStyle w:val="font61"/>
                <w:rFonts w:hint="default"/>
              </w:rPr>
              <w:t>5</w:t>
            </w:r>
            <w:r>
              <w:rPr>
                <w:rStyle w:val="font61"/>
                <w:rFonts w:hint="default"/>
              </w:rPr>
              <w:t>家地市级医院之一。成功通过电子病历应用水平分级标准五级评审。</w:t>
            </w:r>
            <w:r>
              <w:rPr>
                <w:rStyle w:val="font61"/>
                <w:rFonts w:hint="default"/>
              </w:rPr>
              <w:t>2024</w:t>
            </w:r>
            <w:r>
              <w:rPr>
                <w:rStyle w:val="font61"/>
                <w:rFonts w:hint="default"/>
              </w:rPr>
              <w:t>年</w:t>
            </w:r>
            <w:r>
              <w:rPr>
                <w:rStyle w:val="font61"/>
                <w:rFonts w:hint="default"/>
              </w:rPr>
              <w:t>6</w:t>
            </w:r>
            <w:r>
              <w:rPr>
                <w:rStyle w:val="font61"/>
                <w:rFonts w:hint="default"/>
              </w:rPr>
              <w:t>月，医院通过电子病历应用水平分级标准五级评审，提前完成省级区域医疗中心信息化建设目标。积极推进全省</w:t>
            </w:r>
            <w:r>
              <w:rPr>
                <w:rStyle w:val="font61"/>
                <w:rFonts w:hint="default"/>
              </w:rPr>
              <w:t>“</w:t>
            </w:r>
            <w:r>
              <w:rPr>
                <w:rStyle w:val="font61"/>
                <w:rFonts w:hint="default"/>
              </w:rPr>
              <w:t>六医联动</w:t>
            </w:r>
            <w:r>
              <w:rPr>
                <w:rStyle w:val="font61"/>
                <w:rFonts w:hint="default"/>
              </w:rPr>
              <w:t>”</w:t>
            </w:r>
            <w:r>
              <w:rPr>
                <w:rStyle w:val="font61"/>
                <w:rFonts w:hint="default"/>
              </w:rPr>
              <w:t>信息平台建设，率先开通医保双通道药品处方流转平台，实现一站式自助出入院办理、医保线上报账和医疗电子发票全流</w:t>
            </w:r>
            <w:r>
              <w:rPr>
                <w:rStyle w:val="font61"/>
                <w:rFonts w:hint="default"/>
              </w:rPr>
              <w:t>程应用，被湖南省质量控制中心评为湖南省医院信息化地市级优秀质控中心，被湖南省医学会评为湖南省医院信息化建设先进单位。行风建设和集中整治工作成效明显。深入开展集中整治，处理线索</w:t>
            </w:r>
            <w:r>
              <w:rPr>
                <w:rStyle w:val="font61"/>
                <w:rFonts w:hint="default"/>
              </w:rPr>
              <w:t>9</w:t>
            </w:r>
            <w:r>
              <w:rPr>
                <w:rStyle w:val="font61"/>
                <w:rFonts w:hint="default"/>
              </w:rPr>
              <w:t>条，整改问题</w:t>
            </w:r>
            <w:r>
              <w:rPr>
                <w:rStyle w:val="font61"/>
                <w:rFonts w:hint="default"/>
              </w:rPr>
              <w:t>25</w:t>
            </w:r>
            <w:r>
              <w:rPr>
                <w:rStyle w:val="font61"/>
                <w:rFonts w:hint="default"/>
              </w:rPr>
              <w:t>个，推动建立</w:t>
            </w:r>
            <w:r>
              <w:rPr>
                <w:rStyle w:val="font61"/>
                <w:rFonts w:hint="default"/>
              </w:rPr>
              <w:t>10</w:t>
            </w:r>
            <w:r>
              <w:rPr>
                <w:rStyle w:val="font61"/>
                <w:rFonts w:hint="default"/>
              </w:rPr>
              <w:t>余项管理制度。持续推进清廉医院建设，康复医院被市纪委评为清廉单元示范点，营造风清气正的医院环境。</w:t>
            </w:r>
            <w:r>
              <w:rPr>
                <w:rStyle w:val="font61"/>
                <w:rFonts w:hint="default"/>
              </w:rPr>
              <w:t xml:space="preserve"> </w:t>
            </w:r>
            <w:r>
              <w:rPr>
                <w:rStyle w:val="font61"/>
                <w:rFonts w:hint="default"/>
              </w:rPr>
              <w:t>二、引领能力明显增强。省级区域医疗中心建设稳步推进。肿瘤放疗中心大楼投入使用，市医疗急救中心大楼开工建设。加强与省级医院交流合作，联合开展科普宣传、义诊活动，促进医防协同。加强对基层医院指导，获批郴州市自闭</w:t>
            </w:r>
            <w:r>
              <w:rPr>
                <w:rStyle w:val="font61"/>
                <w:rFonts w:hint="default"/>
              </w:rPr>
              <w:lastRenderedPageBreak/>
              <w:t>症诊疗示范基地</w:t>
            </w:r>
            <w:r>
              <w:rPr>
                <w:rStyle w:val="font61"/>
                <w:rFonts w:hint="default"/>
              </w:rPr>
              <w:t>1</w:t>
            </w:r>
            <w:r>
              <w:rPr>
                <w:rStyle w:val="font61"/>
                <w:rFonts w:hint="default"/>
              </w:rPr>
              <w:t>个、质控中心</w:t>
            </w:r>
            <w:r>
              <w:rPr>
                <w:rStyle w:val="font61"/>
                <w:rFonts w:hint="default"/>
              </w:rPr>
              <w:t>9</w:t>
            </w:r>
            <w:r>
              <w:rPr>
                <w:rStyle w:val="font61"/>
                <w:rFonts w:hint="default"/>
              </w:rPr>
              <w:t>个，举办学术活动、开展业务指导</w:t>
            </w:r>
            <w:r>
              <w:rPr>
                <w:rStyle w:val="font61"/>
                <w:rFonts w:hint="default"/>
              </w:rPr>
              <w:t>200</w:t>
            </w:r>
            <w:r>
              <w:rPr>
                <w:rStyle w:val="font61"/>
                <w:rFonts w:hint="default"/>
              </w:rPr>
              <w:t>余次，被国家呼吸内科医疗质控中心评为</w:t>
            </w:r>
            <w:r>
              <w:rPr>
                <w:rStyle w:val="font61"/>
                <w:rFonts w:hint="default"/>
              </w:rPr>
              <w:t>“2024</w:t>
            </w:r>
            <w:r>
              <w:rPr>
                <w:rStyle w:val="font61"/>
                <w:rFonts w:hint="default"/>
              </w:rPr>
              <w:t>年度全国百家优秀哨点医院</w:t>
            </w:r>
            <w:r>
              <w:rPr>
                <w:rStyle w:val="font61"/>
                <w:rFonts w:hint="default"/>
              </w:rPr>
              <w:t>”</w:t>
            </w:r>
            <w:r>
              <w:rPr>
                <w:rStyle w:val="font61"/>
                <w:rFonts w:hint="default"/>
              </w:rPr>
              <w:t>。推进区域医疗信息平台建设，与基层医疗机构开展远程服务，提升服务能力。医联体建设持续推进。新增</w:t>
            </w:r>
            <w:r>
              <w:rPr>
                <w:rStyle w:val="font61"/>
                <w:rFonts w:hint="default"/>
              </w:rPr>
              <w:t>4</w:t>
            </w:r>
            <w:r>
              <w:rPr>
                <w:rStyle w:val="font61"/>
                <w:rFonts w:hint="default"/>
              </w:rPr>
              <w:t>家医联体成员单位，组建</w:t>
            </w:r>
            <w:r>
              <w:rPr>
                <w:rStyle w:val="font61"/>
                <w:rFonts w:hint="default"/>
              </w:rPr>
              <w:t>2</w:t>
            </w:r>
            <w:r>
              <w:rPr>
                <w:rStyle w:val="font61"/>
                <w:rFonts w:hint="default"/>
              </w:rPr>
              <w:t>个联合病房，推动资源共享。推进城市医疗集团建设，健全运行机制，定期派驻专家坐诊，指导郴州市第三人民医院开展新技术项目</w:t>
            </w:r>
            <w:r>
              <w:rPr>
                <w:rStyle w:val="font61"/>
                <w:rFonts w:hint="default"/>
              </w:rPr>
              <w:t>2</w:t>
            </w:r>
            <w:r>
              <w:rPr>
                <w:rStyle w:val="font61"/>
                <w:rFonts w:hint="default"/>
              </w:rPr>
              <w:t>项，培训医务人员和中层干部</w:t>
            </w:r>
            <w:r>
              <w:rPr>
                <w:rStyle w:val="font61"/>
                <w:rFonts w:hint="default"/>
              </w:rPr>
              <w:t>700</w:t>
            </w:r>
            <w:r>
              <w:rPr>
                <w:rStyle w:val="font61"/>
                <w:rFonts w:hint="default"/>
              </w:rPr>
              <w:t>余人次；投入建设区域检验、影像系统，累计转诊患者</w:t>
            </w:r>
            <w:r>
              <w:rPr>
                <w:rStyle w:val="font61"/>
                <w:rFonts w:hint="default"/>
              </w:rPr>
              <w:t>1158</w:t>
            </w:r>
            <w:r>
              <w:rPr>
                <w:rStyle w:val="font61"/>
                <w:rFonts w:hint="default"/>
              </w:rPr>
              <w:t>人次，推进分级诊疗制度落实。</w:t>
            </w:r>
            <w:r>
              <w:rPr>
                <w:rStyle w:val="font61"/>
                <w:rFonts w:hint="default"/>
              </w:rPr>
              <w:t xml:space="preserve"> </w:t>
            </w:r>
            <w:r>
              <w:rPr>
                <w:rStyle w:val="font61"/>
                <w:rFonts w:hint="default"/>
              </w:rPr>
              <w:t>三、内涵建设不断加</w:t>
            </w:r>
            <w:r>
              <w:rPr>
                <w:rStyle w:val="font61"/>
                <w:rFonts w:hint="default"/>
              </w:rPr>
              <w:t>强。学科建设持续加强。肺癌诊疗中心获批国家临床重点专科培育项目；重症医学科牵头成立郴州市重症医学专科联盟，成功获批湖南省首批重症医学专项技术培训基地。全年开展新技术</w:t>
            </w:r>
            <w:r>
              <w:rPr>
                <w:rStyle w:val="font61"/>
                <w:rFonts w:hint="default"/>
              </w:rPr>
              <w:t>83</w:t>
            </w:r>
            <w:r>
              <w:rPr>
                <w:rStyle w:val="font61"/>
                <w:rFonts w:hint="default"/>
              </w:rPr>
              <w:t>项，获评郴州市十大医疗新技术</w:t>
            </w:r>
            <w:r>
              <w:rPr>
                <w:rStyle w:val="font61"/>
                <w:rFonts w:hint="default"/>
              </w:rPr>
              <w:t>8</w:t>
            </w:r>
            <w:r>
              <w:rPr>
                <w:rStyle w:val="font61"/>
                <w:rFonts w:hint="default"/>
              </w:rPr>
              <w:t>项，</w:t>
            </w:r>
            <w:r>
              <w:rPr>
                <w:rStyle w:val="font61"/>
                <w:rFonts w:hint="default"/>
              </w:rPr>
              <w:t>ECMO</w:t>
            </w:r>
            <w:r>
              <w:rPr>
                <w:rStyle w:val="font61"/>
                <w:rFonts w:hint="default"/>
              </w:rPr>
              <w:t>、造血干细胞移植、</w:t>
            </w:r>
            <w:r>
              <w:rPr>
                <w:rStyle w:val="font61"/>
                <w:rFonts w:hint="default"/>
              </w:rPr>
              <w:t>ERCP</w:t>
            </w:r>
            <w:r>
              <w:rPr>
                <w:rStyle w:val="font61"/>
                <w:rFonts w:hint="default"/>
              </w:rPr>
              <w:t>等重大技术项目开展例数明显增长。</w:t>
            </w:r>
            <w:r>
              <w:rPr>
                <w:rStyle w:val="font61"/>
                <w:rFonts w:hint="default"/>
              </w:rPr>
              <w:t>“</w:t>
            </w:r>
            <w:r>
              <w:rPr>
                <w:rStyle w:val="font61"/>
                <w:rFonts w:hint="default"/>
              </w:rPr>
              <w:t>五大中心</w:t>
            </w:r>
            <w:r>
              <w:rPr>
                <w:rStyle w:val="font61"/>
                <w:rFonts w:hint="default"/>
              </w:rPr>
              <w:t>”</w:t>
            </w:r>
            <w:r>
              <w:rPr>
                <w:rStyle w:val="font61"/>
                <w:rFonts w:hint="default"/>
              </w:rPr>
              <w:t>建设持续深化。卒中中心成立</w:t>
            </w:r>
            <w:r>
              <w:rPr>
                <w:rStyle w:val="font61"/>
                <w:rFonts w:hint="default"/>
              </w:rPr>
              <w:t>“</w:t>
            </w:r>
            <w:r>
              <w:rPr>
                <w:rStyle w:val="font61"/>
                <w:rFonts w:hint="default"/>
              </w:rPr>
              <w:t>急诊卒中单元</w:t>
            </w:r>
            <w:r>
              <w:rPr>
                <w:rStyle w:val="font61"/>
                <w:rFonts w:hint="default"/>
              </w:rPr>
              <w:t>”</w:t>
            </w:r>
            <w:r>
              <w:rPr>
                <w:rStyle w:val="font61"/>
                <w:rFonts w:hint="default"/>
              </w:rPr>
              <w:t>，引进移动式磁共振成像系统，成为全国首家</w:t>
            </w:r>
            <w:r>
              <w:rPr>
                <w:rStyle w:val="font61"/>
                <w:rFonts w:hint="default"/>
              </w:rPr>
              <w:t>DNT</w:t>
            </w:r>
            <w:r>
              <w:rPr>
                <w:rStyle w:val="font61"/>
                <w:rFonts w:hint="default"/>
              </w:rPr>
              <w:t>步入刻钟时代的医院，急性脑梗死再灌注治疗率达</w:t>
            </w:r>
            <w:r>
              <w:rPr>
                <w:rStyle w:val="font61"/>
                <w:rFonts w:hint="default"/>
              </w:rPr>
              <w:t>76%</w:t>
            </w:r>
            <w:r>
              <w:rPr>
                <w:rStyle w:val="font61"/>
                <w:rFonts w:hint="default"/>
              </w:rPr>
              <w:t>，在全国三级医院卒中中心排名位列第</w:t>
            </w:r>
            <w:r>
              <w:rPr>
                <w:rStyle w:val="font61"/>
                <w:rFonts w:hint="default"/>
              </w:rPr>
              <w:t>35</w:t>
            </w:r>
            <w:r>
              <w:rPr>
                <w:rStyle w:val="font61"/>
                <w:rFonts w:hint="default"/>
              </w:rPr>
              <w:t>名，被湖南卒中联盟授予湖南省卒中防治工作特别贡献奖，被评</w:t>
            </w:r>
            <w:r>
              <w:rPr>
                <w:rStyle w:val="font61"/>
                <w:rFonts w:hint="default"/>
              </w:rPr>
              <w:t>为卒中适宜技</w:t>
            </w:r>
            <w:r>
              <w:rPr>
                <w:rStyle w:val="font61"/>
                <w:rFonts w:hint="default"/>
              </w:rPr>
              <w:lastRenderedPageBreak/>
              <w:t>术推广先进单位；胸痛中心推进全域化模式建设，被湖南胸痛联盟评为先进集体；创伤中心优化急救流程，抢救成功率</w:t>
            </w:r>
            <w:r>
              <w:rPr>
                <w:rStyle w:val="font61"/>
                <w:rFonts w:hint="default"/>
              </w:rPr>
              <w:t>98.19%</w:t>
            </w:r>
            <w:r>
              <w:rPr>
                <w:rStyle w:val="font61"/>
                <w:rFonts w:hint="default"/>
              </w:rPr>
              <w:t>；危重孕产妇救治中心全力保障母婴健康安全，未发生孕产妇死亡事件；危重儿童和新生儿救治中心获批郴州市技术研发中心。</w:t>
            </w:r>
            <w:r>
              <w:rPr>
                <w:rStyle w:val="font61"/>
                <w:rFonts w:hint="default"/>
              </w:rPr>
              <w:t>“</w:t>
            </w:r>
            <w:r>
              <w:rPr>
                <w:rStyle w:val="font61"/>
                <w:rFonts w:hint="default"/>
              </w:rPr>
              <w:t>全面提升医疗质量行动计划</w:t>
            </w:r>
            <w:r>
              <w:rPr>
                <w:rStyle w:val="font61"/>
                <w:rFonts w:hint="default"/>
              </w:rPr>
              <w:t>”</w:t>
            </w:r>
            <w:r>
              <w:rPr>
                <w:rStyle w:val="font61"/>
                <w:rFonts w:hint="default"/>
              </w:rPr>
              <w:t>有序推进。完善医疗质量管理体系，强化核心制度落实，开展病历内涵质量专项行动，全年手术并发症发生率下降</w:t>
            </w:r>
            <w:r>
              <w:rPr>
                <w:rStyle w:val="font61"/>
                <w:rFonts w:hint="default"/>
              </w:rPr>
              <w:t>2.63%</w:t>
            </w:r>
            <w:r>
              <w:rPr>
                <w:rStyle w:val="font61"/>
                <w:rFonts w:hint="default"/>
              </w:rPr>
              <w:t>，全院药占比下降</w:t>
            </w:r>
            <w:r>
              <w:rPr>
                <w:rStyle w:val="font61"/>
                <w:rFonts w:hint="default"/>
              </w:rPr>
              <w:t>11.84%</w:t>
            </w:r>
            <w:r>
              <w:rPr>
                <w:rStyle w:val="font61"/>
                <w:rFonts w:hint="default"/>
              </w:rPr>
              <w:t>，住院患者人均药品费用下降</w:t>
            </w:r>
            <w:r>
              <w:rPr>
                <w:rStyle w:val="font61"/>
                <w:rFonts w:hint="default"/>
              </w:rPr>
              <w:t>15.48%</w:t>
            </w:r>
            <w:r>
              <w:rPr>
                <w:rStyle w:val="font61"/>
                <w:rFonts w:hint="default"/>
              </w:rPr>
              <w:t>，病历缺陷率下降</w:t>
            </w:r>
            <w:r>
              <w:rPr>
                <w:rStyle w:val="font61"/>
                <w:rFonts w:hint="default"/>
              </w:rPr>
              <w:t>21%</w:t>
            </w:r>
            <w:r>
              <w:rPr>
                <w:rStyle w:val="font61"/>
                <w:rFonts w:hint="default"/>
              </w:rPr>
              <w:t>，</w:t>
            </w:r>
            <w:r>
              <w:rPr>
                <w:rStyle w:val="font61"/>
                <w:rFonts w:hint="default"/>
              </w:rPr>
              <w:t>3</w:t>
            </w:r>
            <w:r>
              <w:rPr>
                <w:rStyle w:val="font61"/>
                <w:rFonts w:hint="default"/>
              </w:rPr>
              <w:t>份病案被省卫生健康委评为</w:t>
            </w:r>
            <w:r>
              <w:rPr>
                <w:rStyle w:val="font61"/>
                <w:rFonts w:hint="default"/>
              </w:rPr>
              <w:t>2024</w:t>
            </w:r>
            <w:r>
              <w:rPr>
                <w:rStyle w:val="font61"/>
                <w:rFonts w:hint="default"/>
              </w:rPr>
              <w:t>年度全省</w:t>
            </w:r>
            <w:r>
              <w:rPr>
                <w:rStyle w:val="font61"/>
                <w:rFonts w:hint="default"/>
              </w:rPr>
              <w:t>“</w:t>
            </w:r>
            <w:r>
              <w:rPr>
                <w:rStyle w:val="font61"/>
                <w:rFonts w:hint="default"/>
              </w:rPr>
              <w:t>百佳病案</w:t>
            </w:r>
            <w:r>
              <w:rPr>
                <w:rStyle w:val="font61"/>
                <w:rFonts w:hint="default"/>
              </w:rPr>
              <w:t>”</w:t>
            </w:r>
            <w:r>
              <w:rPr>
                <w:rStyle w:val="font61"/>
                <w:rFonts w:hint="default"/>
              </w:rPr>
              <w:t>。</w:t>
            </w:r>
            <w:r>
              <w:rPr>
                <w:rStyle w:val="font61"/>
                <w:rFonts w:hint="default"/>
              </w:rPr>
              <w:t>“</w:t>
            </w:r>
            <w:r>
              <w:rPr>
                <w:rStyle w:val="font61"/>
                <w:rFonts w:hint="default"/>
              </w:rPr>
              <w:t>进一步改善护理服务行动计划</w:t>
            </w:r>
            <w:r>
              <w:rPr>
                <w:rStyle w:val="font61"/>
                <w:rFonts w:hint="default"/>
              </w:rPr>
              <w:t>”</w:t>
            </w:r>
            <w:r>
              <w:rPr>
                <w:rStyle w:val="font61"/>
                <w:rFonts w:hint="default"/>
              </w:rPr>
              <w:t>有效落实。健全五级质量控制与管理体系，各项护理质量指标达标。获批郴州市惠爱科普基地，打造了多个优秀护理案例，在</w:t>
            </w:r>
            <w:r>
              <w:rPr>
                <w:rStyle w:val="font61"/>
                <w:rFonts w:hint="default"/>
              </w:rPr>
              <w:t>“</w:t>
            </w:r>
            <w:r>
              <w:rPr>
                <w:rStyle w:val="font61"/>
                <w:rFonts w:hint="default"/>
              </w:rPr>
              <w:t>第九季改善医疗服务行动全国医院擂台赛</w:t>
            </w:r>
            <w:r>
              <w:rPr>
                <w:rStyle w:val="font61"/>
                <w:rFonts w:hint="default"/>
              </w:rPr>
              <w:t>”</w:t>
            </w:r>
            <w:r>
              <w:rPr>
                <w:rStyle w:val="font61"/>
                <w:rFonts w:hint="default"/>
              </w:rPr>
              <w:t>中荣获铜奖。持续开展</w:t>
            </w:r>
            <w:r>
              <w:rPr>
                <w:rStyle w:val="font61"/>
                <w:rFonts w:hint="default"/>
              </w:rPr>
              <w:t>“</w:t>
            </w:r>
            <w:r>
              <w:rPr>
                <w:rStyle w:val="font61"/>
                <w:rFonts w:hint="default"/>
              </w:rPr>
              <w:t>互联网</w:t>
            </w:r>
            <w:r>
              <w:rPr>
                <w:rStyle w:val="font61"/>
                <w:rFonts w:hint="default"/>
              </w:rPr>
              <w:t>+</w:t>
            </w:r>
            <w:r>
              <w:rPr>
                <w:rStyle w:val="font61"/>
                <w:rFonts w:hint="default"/>
              </w:rPr>
              <w:t>护理服务</w:t>
            </w:r>
            <w:r>
              <w:rPr>
                <w:rStyle w:val="font61"/>
                <w:rFonts w:hint="default"/>
              </w:rPr>
              <w:t>”</w:t>
            </w:r>
            <w:r>
              <w:rPr>
                <w:rStyle w:val="font61"/>
                <w:rFonts w:hint="default"/>
              </w:rPr>
              <w:t>，服务群众</w:t>
            </w:r>
            <w:r>
              <w:rPr>
                <w:rStyle w:val="font61"/>
                <w:rFonts w:hint="default"/>
              </w:rPr>
              <w:t>172</w:t>
            </w:r>
            <w:r>
              <w:rPr>
                <w:rStyle w:val="font61"/>
                <w:rFonts w:hint="default"/>
              </w:rPr>
              <w:t>人，满意度达</w:t>
            </w:r>
            <w:r>
              <w:rPr>
                <w:rStyle w:val="font61"/>
                <w:rFonts w:hint="default"/>
              </w:rPr>
              <w:t>100%</w:t>
            </w:r>
            <w:r>
              <w:rPr>
                <w:rStyle w:val="font61"/>
                <w:rFonts w:hint="default"/>
              </w:rPr>
              <w:t>。</w:t>
            </w:r>
            <w:r>
              <w:rPr>
                <w:rStyle w:val="font61"/>
                <w:rFonts w:hint="default"/>
              </w:rPr>
              <w:t xml:space="preserve"> </w:t>
            </w:r>
            <w:r>
              <w:rPr>
                <w:rStyle w:val="font61"/>
                <w:rFonts w:hint="default"/>
              </w:rPr>
              <w:t>四、精细管理成效明显。运营管理持续优化。健全绩效评价体系，优化绩效考核指标，手术台次、四级手术及微创手术台次增长，平均住院日缩短至</w:t>
            </w:r>
            <w:r>
              <w:rPr>
                <w:rStyle w:val="font61"/>
                <w:rFonts w:hint="default"/>
              </w:rPr>
              <w:t>7.5</w:t>
            </w:r>
            <w:r>
              <w:rPr>
                <w:rStyle w:val="font61"/>
                <w:rFonts w:hint="default"/>
              </w:rPr>
              <w:t>天。持续开展</w:t>
            </w:r>
            <w:r>
              <w:rPr>
                <w:rStyle w:val="font61"/>
                <w:rFonts w:hint="default"/>
              </w:rPr>
              <w:t>“</w:t>
            </w:r>
            <w:r>
              <w:rPr>
                <w:rStyle w:val="font61"/>
                <w:rFonts w:hint="default"/>
              </w:rPr>
              <w:t>经济管理年</w:t>
            </w:r>
            <w:r>
              <w:rPr>
                <w:rStyle w:val="font61"/>
                <w:rFonts w:hint="default"/>
              </w:rPr>
              <w:t>”</w:t>
            </w:r>
            <w:r>
              <w:rPr>
                <w:rStyle w:val="font61"/>
                <w:rFonts w:hint="default"/>
              </w:rPr>
              <w:t>活动，促进业财融合。加强专科运营管理，优化医疗设备管理模式，提高设备使用效率。</w:t>
            </w:r>
            <w:r>
              <w:rPr>
                <w:rStyle w:val="font61"/>
                <w:rFonts w:hint="default"/>
              </w:rPr>
              <w:t>内控管理逐步完善。构建内部控制管理体系，加大合同监督检查</w:t>
            </w:r>
            <w:r>
              <w:rPr>
                <w:rStyle w:val="font61"/>
                <w:rFonts w:hint="default"/>
              </w:rPr>
              <w:lastRenderedPageBreak/>
              <w:t>和专项审计力度，规范经济活动。完成工程结算审计</w:t>
            </w:r>
            <w:r>
              <w:rPr>
                <w:rStyle w:val="font61"/>
                <w:rFonts w:hint="default"/>
              </w:rPr>
              <w:t>111</w:t>
            </w:r>
            <w:r>
              <w:rPr>
                <w:rStyle w:val="font61"/>
                <w:rFonts w:hint="default"/>
              </w:rPr>
              <w:t>个，核减金额</w:t>
            </w:r>
            <w:r>
              <w:rPr>
                <w:rStyle w:val="font61"/>
                <w:rFonts w:hint="default"/>
              </w:rPr>
              <w:t>319.85</w:t>
            </w:r>
            <w:r>
              <w:rPr>
                <w:rStyle w:val="font61"/>
                <w:rFonts w:hint="default"/>
              </w:rPr>
              <w:t>万元，有效节约医院资金。成本控制取得实效。坚持</w:t>
            </w:r>
            <w:r>
              <w:rPr>
                <w:rStyle w:val="font61"/>
                <w:rFonts w:hint="default"/>
              </w:rPr>
              <w:t>“</w:t>
            </w:r>
            <w:r>
              <w:rPr>
                <w:rStyle w:val="font61"/>
                <w:rFonts w:hint="default"/>
              </w:rPr>
              <w:t>过紧日子</w:t>
            </w:r>
            <w:r>
              <w:rPr>
                <w:rStyle w:val="font61"/>
                <w:rFonts w:hint="default"/>
              </w:rPr>
              <w:t>”</w:t>
            </w:r>
            <w:r>
              <w:rPr>
                <w:rStyle w:val="font61"/>
                <w:rFonts w:hint="default"/>
              </w:rPr>
              <w:t>，落实药品耗材集中带量采购，开展国家集采目录外的多个耗材集中招标，采购成本大幅降低。启用</w:t>
            </w:r>
            <w:r>
              <w:rPr>
                <w:rStyle w:val="font61"/>
                <w:rFonts w:hint="default"/>
              </w:rPr>
              <w:t>SPD</w:t>
            </w:r>
            <w:r>
              <w:rPr>
                <w:rStyle w:val="font61"/>
                <w:rFonts w:hint="default"/>
              </w:rPr>
              <w:t>管理，规范耗材与后勤物资领用。合理调配医疗设备近</w:t>
            </w:r>
            <w:r>
              <w:rPr>
                <w:rStyle w:val="font61"/>
                <w:rFonts w:hint="default"/>
              </w:rPr>
              <w:t>2000</w:t>
            </w:r>
            <w:r>
              <w:rPr>
                <w:rStyle w:val="font61"/>
                <w:rFonts w:hint="default"/>
              </w:rPr>
              <w:t>台次，避免重复采购。开展节能改造工作，节水率和节电率分别达</w:t>
            </w:r>
            <w:r>
              <w:rPr>
                <w:rStyle w:val="font61"/>
                <w:rFonts w:hint="default"/>
              </w:rPr>
              <w:t>12%</w:t>
            </w:r>
            <w:r>
              <w:rPr>
                <w:rStyle w:val="font61"/>
                <w:rFonts w:hint="default"/>
              </w:rPr>
              <w:t>、</w:t>
            </w:r>
            <w:r>
              <w:rPr>
                <w:rStyle w:val="font61"/>
                <w:rFonts w:hint="default"/>
              </w:rPr>
              <w:t>30%</w:t>
            </w:r>
            <w:r>
              <w:rPr>
                <w:rStyle w:val="font61"/>
                <w:rFonts w:hint="default"/>
              </w:rPr>
              <w:t>，节能管理初见成效。安全生产有力保障。完善管理体系，建立三级巡查机制，开展安全检查</w:t>
            </w:r>
            <w:r>
              <w:rPr>
                <w:rStyle w:val="font61"/>
                <w:rFonts w:hint="default"/>
              </w:rPr>
              <w:t>11</w:t>
            </w:r>
            <w:r>
              <w:rPr>
                <w:rStyle w:val="font61"/>
                <w:rFonts w:hint="default"/>
              </w:rPr>
              <w:t>次，整改隐患问</w:t>
            </w:r>
            <w:r>
              <w:rPr>
                <w:rStyle w:val="font61"/>
                <w:rFonts w:hint="default"/>
              </w:rPr>
              <w:t>题</w:t>
            </w:r>
            <w:r>
              <w:rPr>
                <w:rStyle w:val="font61"/>
                <w:rFonts w:hint="default"/>
              </w:rPr>
              <w:t>164</w:t>
            </w:r>
            <w:r>
              <w:rPr>
                <w:rStyle w:val="font61"/>
                <w:rFonts w:hint="default"/>
              </w:rPr>
              <w:t>条；组织消防培训与应急演练</w:t>
            </w:r>
            <w:r>
              <w:rPr>
                <w:rStyle w:val="font61"/>
                <w:rFonts w:hint="default"/>
              </w:rPr>
              <w:t>200</w:t>
            </w:r>
            <w:r>
              <w:rPr>
                <w:rStyle w:val="font61"/>
                <w:rFonts w:hint="default"/>
              </w:rPr>
              <w:t>余场次，培训职工</w:t>
            </w:r>
            <w:r>
              <w:rPr>
                <w:rStyle w:val="font61"/>
                <w:rFonts w:hint="default"/>
              </w:rPr>
              <w:t>6000</w:t>
            </w:r>
            <w:r>
              <w:rPr>
                <w:rStyle w:val="font61"/>
                <w:rFonts w:hint="default"/>
              </w:rPr>
              <w:t>余人次，全年未发生重大安全生产事件。</w:t>
            </w:r>
            <w:r>
              <w:rPr>
                <w:rStyle w:val="font61"/>
                <w:rFonts w:hint="default"/>
              </w:rPr>
              <w:t xml:space="preserve"> </w:t>
            </w:r>
            <w:r>
              <w:rPr>
                <w:rStyle w:val="font61"/>
                <w:rFonts w:hint="default"/>
              </w:rPr>
              <w:t>五、改革动力持续强劲。人才队伍不断夯实。招聘</w:t>
            </w:r>
            <w:r>
              <w:rPr>
                <w:rStyle w:val="font61"/>
                <w:rFonts w:hint="default"/>
              </w:rPr>
              <w:t>54</w:t>
            </w:r>
            <w:r>
              <w:rPr>
                <w:rStyle w:val="font61"/>
                <w:rFonts w:hint="default"/>
              </w:rPr>
              <w:t>名高学历、高职称人员，其中博士</w:t>
            </w:r>
            <w:r>
              <w:rPr>
                <w:rStyle w:val="font61"/>
                <w:rFonts w:hint="default"/>
              </w:rPr>
              <w:t>1</w:t>
            </w:r>
            <w:r>
              <w:rPr>
                <w:rStyle w:val="font61"/>
                <w:rFonts w:hint="default"/>
              </w:rPr>
              <w:t>人。选派</w:t>
            </w:r>
            <w:r>
              <w:rPr>
                <w:rStyle w:val="font61"/>
                <w:rFonts w:hint="default"/>
              </w:rPr>
              <w:t>9</w:t>
            </w:r>
            <w:r>
              <w:rPr>
                <w:rStyle w:val="font61"/>
                <w:rFonts w:hint="default"/>
              </w:rPr>
              <w:t>名医务人员赴海外交流学习，</w:t>
            </w:r>
            <w:r>
              <w:rPr>
                <w:rStyle w:val="font61"/>
                <w:rFonts w:hint="default"/>
              </w:rPr>
              <w:t>1</w:t>
            </w:r>
            <w:r>
              <w:rPr>
                <w:rStyle w:val="font61"/>
                <w:rFonts w:hint="default"/>
              </w:rPr>
              <w:t>人入选湖南省医学学科青年骨干人才，</w:t>
            </w:r>
            <w:r>
              <w:rPr>
                <w:rStyle w:val="font61"/>
                <w:rFonts w:hint="default"/>
              </w:rPr>
              <w:t>1</w:t>
            </w:r>
            <w:r>
              <w:rPr>
                <w:rStyle w:val="font61"/>
                <w:rFonts w:hint="default"/>
              </w:rPr>
              <w:t>人入选湖南省</w:t>
            </w:r>
            <w:r>
              <w:rPr>
                <w:rStyle w:val="font61"/>
                <w:rFonts w:hint="default"/>
              </w:rPr>
              <w:t>“</w:t>
            </w:r>
            <w:r>
              <w:rPr>
                <w:rStyle w:val="font61"/>
                <w:rFonts w:hint="default"/>
              </w:rPr>
              <w:t>十四五</w:t>
            </w:r>
            <w:r>
              <w:rPr>
                <w:rStyle w:val="font61"/>
                <w:rFonts w:hint="default"/>
              </w:rPr>
              <w:t>”</w:t>
            </w:r>
            <w:r>
              <w:rPr>
                <w:rStyle w:val="font61"/>
                <w:rFonts w:hint="default"/>
              </w:rPr>
              <w:t>第二批中医药骨干人才培养对象，</w:t>
            </w:r>
            <w:r>
              <w:rPr>
                <w:rStyle w:val="font61"/>
                <w:rFonts w:hint="default"/>
              </w:rPr>
              <w:t>86</w:t>
            </w:r>
            <w:r>
              <w:rPr>
                <w:rStyle w:val="font61"/>
                <w:rFonts w:hint="default"/>
              </w:rPr>
              <w:t>人被认定为郴州市高层次人才，</w:t>
            </w:r>
            <w:r>
              <w:rPr>
                <w:rStyle w:val="font61"/>
                <w:rFonts w:hint="default"/>
              </w:rPr>
              <w:t>39</w:t>
            </w:r>
            <w:r>
              <w:rPr>
                <w:rStyle w:val="font61"/>
                <w:rFonts w:hint="default"/>
              </w:rPr>
              <w:t>人入选湖南省医学高层次人才计划国家级评审专家。优化职称评审方案，</w:t>
            </w:r>
            <w:r>
              <w:rPr>
                <w:rStyle w:val="font61"/>
                <w:rFonts w:hint="default"/>
              </w:rPr>
              <w:t>2024</w:t>
            </w:r>
            <w:r>
              <w:rPr>
                <w:rStyle w:val="font61"/>
                <w:rFonts w:hint="default"/>
              </w:rPr>
              <w:t>年通过高级职称</w:t>
            </w:r>
            <w:r>
              <w:rPr>
                <w:rStyle w:val="font61"/>
                <w:rFonts w:hint="default"/>
              </w:rPr>
              <w:t>179</w:t>
            </w:r>
            <w:r>
              <w:rPr>
                <w:rStyle w:val="font61"/>
                <w:rFonts w:hint="default"/>
              </w:rPr>
              <w:t>人。</w:t>
            </w:r>
            <w:r>
              <w:rPr>
                <w:rStyle w:val="font61"/>
                <w:rFonts w:hint="default"/>
              </w:rPr>
              <w:t>DRG</w:t>
            </w:r>
            <w:r>
              <w:rPr>
                <w:rStyle w:val="font61"/>
                <w:rFonts w:hint="default"/>
              </w:rPr>
              <w:t>支付改革不断深化。优化</w:t>
            </w:r>
            <w:r>
              <w:rPr>
                <w:rStyle w:val="font61"/>
                <w:rFonts w:hint="default"/>
              </w:rPr>
              <w:t>DRG</w:t>
            </w:r>
            <w:r>
              <w:rPr>
                <w:rStyle w:val="font61"/>
                <w:rFonts w:hint="default"/>
              </w:rPr>
              <w:t>考核机制，规范亏损病例收治，优化病种结</w:t>
            </w:r>
            <w:r>
              <w:rPr>
                <w:rStyle w:val="font61"/>
                <w:rFonts w:hint="default"/>
              </w:rPr>
              <w:t>构。开展违规使用医保基金专项整治，整改问题</w:t>
            </w:r>
            <w:r>
              <w:rPr>
                <w:rStyle w:val="font61"/>
                <w:rFonts w:hint="default"/>
              </w:rPr>
              <w:t>131</w:t>
            </w:r>
            <w:r>
              <w:rPr>
                <w:rStyle w:val="font61"/>
                <w:rFonts w:hint="default"/>
              </w:rPr>
              <w:t>个，规范医疗服务行为。教学科研协同发展。</w:t>
            </w:r>
            <w:r>
              <w:rPr>
                <w:rStyle w:val="font61"/>
                <w:rFonts w:hint="default"/>
              </w:rPr>
              <w:lastRenderedPageBreak/>
              <w:t>深化与高校合作，开办在职研究生班、在职博士班，新增硕士研究生导师</w:t>
            </w:r>
            <w:r>
              <w:rPr>
                <w:rStyle w:val="font61"/>
                <w:rFonts w:hint="default"/>
              </w:rPr>
              <w:t>17</w:t>
            </w:r>
            <w:r>
              <w:rPr>
                <w:rStyle w:val="font61"/>
                <w:rFonts w:hint="default"/>
              </w:rPr>
              <w:t>名。招录硕士研究生</w:t>
            </w:r>
            <w:r>
              <w:rPr>
                <w:rStyle w:val="font61"/>
                <w:rFonts w:hint="default"/>
              </w:rPr>
              <w:t>31</w:t>
            </w:r>
            <w:r>
              <w:rPr>
                <w:rStyle w:val="font61"/>
                <w:rFonts w:hint="default"/>
              </w:rPr>
              <w:t>名、规培学员</w:t>
            </w:r>
            <w:r>
              <w:rPr>
                <w:rStyle w:val="font61"/>
                <w:rFonts w:hint="default"/>
              </w:rPr>
              <w:t>104</w:t>
            </w:r>
            <w:r>
              <w:rPr>
                <w:rStyle w:val="font61"/>
                <w:rFonts w:hint="default"/>
              </w:rPr>
              <w:t>名。完成课题立项</w:t>
            </w:r>
            <w:r>
              <w:rPr>
                <w:rStyle w:val="font61"/>
                <w:rFonts w:hint="default"/>
              </w:rPr>
              <w:t>88</w:t>
            </w:r>
            <w:r>
              <w:rPr>
                <w:rStyle w:val="font61"/>
                <w:rFonts w:hint="default"/>
              </w:rPr>
              <w:t>项，其中国家级项目</w:t>
            </w:r>
            <w:r>
              <w:rPr>
                <w:rStyle w:val="font61"/>
                <w:rFonts w:hint="default"/>
              </w:rPr>
              <w:t>1</w:t>
            </w:r>
            <w:r>
              <w:rPr>
                <w:rStyle w:val="font61"/>
                <w:rFonts w:hint="default"/>
              </w:rPr>
              <w:t>项，省级项目</w:t>
            </w:r>
            <w:r>
              <w:rPr>
                <w:rStyle w:val="font61"/>
                <w:rFonts w:hint="default"/>
              </w:rPr>
              <w:t>43</w:t>
            </w:r>
            <w:r>
              <w:rPr>
                <w:rStyle w:val="font61"/>
                <w:rFonts w:hint="default"/>
              </w:rPr>
              <w:t>项，并获批国家临床重点专科重大科研专项</w:t>
            </w:r>
            <w:r>
              <w:rPr>
                <w:rStyle w:val="font61"/>
                <w:rFonts w:hint="default"/>
              </w:rPr>
              <w:t>7</w:t>
            </w:r>
            <w:r>
              <w:rPr>
                <w:rStyle w:val="font61"/>
                <w:rFonts w:hint="default"/>
              </w:rPr>
              <w:t>项、市级研发中心</w:t>
            </w:r>
            <w:r>
              <w:rPr>
                <w:rStyle w:val="font61"/>
                <w:rFonts w:hint="default"/>
              </w:rPr>
              <w:t>12</w:t>
            </w:r>
            <w:r>
              <w:rPr>
                <w:rStyle w:val="font61"/>
                <w:rFonts w:hint="default"/>
              </w:rPr>
              <w:t>个。康复医院获批为郴州市科普教育基地。</w:t>
            </w:r>
            <w:r>
              <w:rPr>
                <w:rStyle w:val="font61"/>
                <w:rFonts w:hint="default"/>
              </w:rPr>
              <w:t xml:space="preserve"> </w:t>
            </w:r>
            <w:r>
              <w:rPr>
                <w:rStyle w:val="font61"/>
                <w:rFonts w:hint="default"/>
              </w:rPr>
              <w:t>六、人文精神持续彰显。患者就医体验明显提升。扎实开展</w:t>
            </w:r>
            <w:r>
              <w:rPr>
                <w:rStyle w:val="font61"/>
                <w:rFonts w:hint="default"/>
              </w:rPr>
              <w:t>“</w:t>
            </w:r>
            <w:r>
              <w:rPr>
                <w:rStyle w:val="font61"/>
                <w:rFonts w:hint="default"/>
              </w:rPr>
              <w:t>就医体验提升年</w:t>
            </w:r>
            <w:r>
              <w:rPr>
                <w:rStyle w:val="font61"/>
                <w:rFonts w:hint="default"/>
              </w:rPr>
              <w:t>”</w:t>
            </w:r>
            <w:r>
              <w:rPr>
                <w:rStyle w:val="font61"/>
                <w:rFonts w:hint="default"/>
              </w:rPr>
              <w:t>活动，优化门诊布局，推行</w:t>
            </w:r>
            <w:r>
              <w:rPr>
                <w:rStyle w:val="font61"/>
                <w:rFonts w:hint="default"/>
              </w:rPr>
              <w:t>“</w:t>
            </w:r>
            <w:r>
              <w:rPr>
                <w:rStyle w:val="font61"/>
                <w:rFonts w:hint="default"/>
              </w:rPr>
              <w:t>一站式</w:t>
            </w:r>
            <w:r>
              <w:rPr>
                <w:rStyle w:val="font61"/>
                <w:rFonts w:hint="default"/>
              </w:rPr>
              <w:t>”</w:t>
            </w:r>
            <w:r>
              <w:rPr>
                <w:rStyle w:val="font61"/>
                <w:rFonts w:hint="default"/>
              </w:rPr>
              <w:t>诊疗服务，完善线上服务功能和患者综合服务中心建设，升级门</w:t>
            </w:r>
            <w:r>
              <w:rPr>
                <w:rStyle w:val="font61"/>
                <w:rFonts w:hint="default"/>
              </w:rPr>
              <w:t>诊智慧药房，试点妇科、产科特需门诊建设，改善卫生间环境，门诊、住院患者年度满意度分别达</w:t>
            </w:r>
            <w:r>
              <w:rPr>
                <w:rStyle w:val="font61"/>
                <w:rFonts w:hint="default"/>
              </w:rPr>
              <w:t>97.5%</w:t>
            </w:r>
            <w:r>
              <w:rPr>
                <w:rStyle w:val="font61"/>
                <w:rFonts w:hint="default"/>
              </w:rPr>
              <w:t>、</w:t>
            </w:r>
            <w:r>
              <w:rPr>
                <w:rStyle w:val="font61"/>
                <w:rFonts w:hint="default"/>
              </w:rPr>
              <w:t>99%</w:t>
            </w:r>
            <w:r>
              <w:rPr>
                <w:rStyle w:val="font61"/>
                <w:rFonts w:hint="default"/>
              </w:rPr>
              <w:t>。宁养病房获批为湖南省</w:t>
            </w:r>
            <w:r>
              <w:rPr>
                <w:rStyle w:val="font61"/>
                <w:rFonts w:hint="default"/>
              </w:rPr>
              <w:t>“</w:t>
            </w:r>
            <w:r>
              <w:rPr>
                <w:rStyle w:val="font61"/>
                <w:rFonts w:hint="default"/>
              </w:rPr>
              <w:t>安宁疗护示范病房</w:t>
            </w:r>
            <w:r>
              <w:rPr>
                <w:rStyle w:val="font61"/>
                <w:rFonts w:hint="default"/>
              </w:rPr>
              <w:t>”</w:t>
            </w:r>
            <w:r>
              <w:rPr>
                <w:rStyle w:val="font61"/>
                <w:rFonts w:hint="default"/>
              </w:rPr>
              <w:t>，市康养中心被评为湖南省四星级养老服务机构和郴州市标准化示范养老机构。职工幸福感明显增强。试点自主经营职工食堂，职工现场就餐率、满意度分别提升</w:t>
            </w:r>
            <w:r>
              <w:rPr>
                <w:rStyle w:val="font61"/>
                <w:rFonts w:hint="default"/>
              </w:rPr>
              <w:t>35%</w:t>
            </w:r>
            <w:r>
              <w:rPr>
                <w:rStyle w:val="font61"/>
                <w:rFonts w:hint="default"/>
              </w:rPr>
              <w:t>、</w:t>
            </w:r>
            <w:r>
              <w:rPr>
                <w:rStyle w:val="font61"/>
                <w:rFonts w:hint="default"/>
              </w:rPr>
              <w:t>20%</w:t>
            </w:r>
            <w:r>
              <w:rPr>
                <w:rStyle w:val="font61"/>
                <w:rFonts w:hint="default"/>
              </w:rPr>
              <w:t>。新增职工结婚慰问服务，为女职工和高危岗位医务人员购买保险，保障职工安全。优化行政</w:t>
            </w:r>
            <w:r>
              <w:rPr>
                <w:rStyle w:val="font61"/>
                <w:rFonts w:hint="default"/>
              </w:rPr>
              <w:t>“</w:t>
            </w:r>
            <w:r>
              <w:rPr>
                <w:rStyle w:val="font61"/>
                <w:rFonts w:hint="default"/>
              </w:rPr>
              <w:t>一站式</w:t>
            </w:r>
            <w:r>
              <w:rPr>
                <w:rStyle w:val="font61"/>
                <w:rFonts w:hint="default"/>
              </w:rPr>
              <w:t>”</w:t>
            </w:r>
            <w:r>
              <w:rPr>
                <w:rStyle w:val="font61"/>
                <w:rFonts w:hint="default"/>
              </w:rPr>
              <w:t>审批流程，新建文体场馆，开展丰富的文化活动，医院在郴州市卫生健康系统第五届职工运动会</w:t>
            </w:r>
            <w:r>
              <w:rPr>
                <w:rStyle w:val="font61"/>
                <w:rFonts w:hint="default"/>
              </w:rPr>
              <w:t>“</w:t>
            </w:r>
            <w:r>
              <w:rPr>
                <w:rStyle w:val="font61"/>
                <w:rFonts w:hint="default"/>
              </w:rPr>
              <w:t>禾仓杯</w:t>
            </w:r>
            <w:r>
              <w:rPr>
                <w:rStyle w:val="font61"/>
                <w:rFonts w:hint="default"/>
              </w:rPr>
              <w:t>”</w:t>
            </w:r>
            <w:r>
              <w:rPr>
                <w:rStyle w:val="font61"/>
                <w:rFonts w:hint="default"/>
              </w:rPr>
              <w:t>广场舞比赛中荣获二等奖。</w:t>
            </w:r>
            <w:r>
              <w:rPr>
                <w:rStyle w:val="font61"/>
                <w:rFonts w:hint="default"/>
              </w:rPr>
              <w:t>医院美誉度明显攀升。在</w:t>
            </w:r>
            <w:r>
              <w:rPr>
                <w:rStyle w:val="font61"/>
                <w:rFonts w:hint="default"/>
              </w:rPr>
              <w:t>“7&amp;#8226;26</w:t>
            </w:r>
            <w:r>
              <w:rPr>
                <w:rStyle w:val="font61"/>
                <w:rFonts w:hint="default"/>
              </w:rPr>
              <w:t>资兴暴雨</w:t>
            </w:r>
            <w:r>
              <w:rPr>
                <w:rStyle w:val="font61"/>
                <w:rFonts w:hint="default"/>
              </w:rPr>
              <w:t>”</w:t>
            </w:r>
            <w:r>
              <w:rPr>
                <w:rStyle w:val="font61"/>
                <w:rFonts w:hint="default"/>
              </w:rPr>
              <w:t>救灾中，医院迅速组建多支</w:t>
            </w:r>
            <w:r>
              <w:rPr>
                <w:rStyle w:val="font61"/>
                <w:rFonts w:hint="default"/>
              </w:rPr>
              <w:t>“</w:t>
            </w:r>
            <w:r>
              <w:rPr>
                <w:rStyle w:val="font61"/>
                <w:rFonts w:hint="default"/>
              </w:rPr>
              <w:t>背包医疗</w:t>
            </w:r>
            <w:r>
              <w:rPr>
                <w:rStyle w:val="font61"/>
                <w:rFonts w:hint="default"/>
              </w:rPr>
              <w:t>”</w:t>
            </w:r>
            <w:r>
              <w:rPr>
                <w:rStyle w:val="font61"/>
                <w:rFonts w:hint="default"/>
              </w:rPr>
              <w:t>小分队，派出支援人员</w:t>
            </w:r>
            <w:r>
              <w:rPr>
                <w:rStyle w:val="font61"/>
                <w:rFonts w:hint="default"/>
              </w:rPr>
              <w:t>138</w:t>
            </w:r>
            <w:r>
              <w:rPr>
                <w:rStyle w:val="font61"/>
                <w:rFonts w:hint="default"/>
              </w:rPr>
              <w:t>名，</w:t>
            </w:r>
            <w:r>
              <w:rPr>
                <w:rStyle w:val="font61"/>
                <w:rFonts w:hint="default"/>
              </w:rPr>
              <w:lastRenderedPageBreak/>
              <w:t>圆满完成救援任务，获各级媒体报道和上级部门认可。李强总理在资兴看望慰问受灾群众时，详细了解医院</w:t>
            </w:r>
            <w:r>
              <w:rPr>
                <w:rStyle w:val="font61"/>
                <w:rFonts w:hint="default"/>
              </w:rPr>
              <w:t>“</w:t>
            </w:r>
            <w:r>
              <w:rPr>
                <w:rStyle w:val="font61"/>
                <w:rFonts w:hint="default"/>
              </w:rPr>
              <w:t>背包医疗</w:t>
            </w:r>
            <w:r>
              <w:rPr>
                <w:rStyle w:val="font61"/>
                <w:rFonts w:hint="default"/>
              </w:rPr>
              <w:t>”</w:t>
            </w:r>
            <w:r>
              <w:rPr>
                <w:rStyle w:val="font61"/>
                <w:rFonts w:hint="default"/>
              </w:rPr>
              <w:t>救援事迹，给予高度赞扬。积极开展各类免费筛查活动，医院出生缺陷干预救助项目被国家卫生健康委妇幼健康司、中国出生缺陷干预救助基金会表扬，被湖南省总工会授予</w:t>
            </w:r>
            <w:r>
              <w:rPr>
                <w:rStyle w:val="font61"/>
                <w:rFonts w:hint="default"/>
              </w:rPr>
              <w:t>“</w:t>
            </w:r>
            <w:r>
              <w:rPr>
                <w:rStyle w:val="font61"/>
                <w:rFonts w:hint="default"/>
              </w:rPr>
              <w:t>微笑列车</w:t>
            </w:r>
            <w:r>
              <w:rPr>
                <w:rStyle w:val="font61"/>
                <w:rFonts w:hint="default"/>
              </w:rPr>
              <w:t>”</w:t>
            </w:r>
            <w:r>
              <w:rPr>
                <w:rStyle w:val="font61"/>
                <w:rFonts w:hint="default"/>
              </w:rPr>
              <w:t>慈善项目优秀定点合作单位。全方位宣传医院名医名科、科普知识等，多个典型事迹被《东方时空》《湖南新闻联播》《经视新闻》等栏目</w:t>
            </w:r>
            <w:r>
              <w:rPr>
                <w:rStyle w:val="font61"/>
                <w:rFonts w:hint="default"/>
              </w:rPr>
              <w:t>报道，涌现出湖南省第十四次妇女代表大会代表彭丽秀、湖南省最可信赖娘家人盘新宁、郴州好人张嘉悦等先进典型。</w:t>
            </w:r>
            <w:r>
              <w:rPr>
                <w:rStyle w:val="font61"/>
                <w:rFonts w:hint="default"/>
              </w:rPr>
              <w:t xml:space="preserve"> </w:t>
            </w:r>
            <w:r>
              <w:rPr>
                <w:rStyle w:val="font61"/>
                <w:rFonts w:hint="default"/>
              </w:rPr>
              <w:t>办企业情况：郴州市第一人医院东院有限公司</w:t>
            </w:r>
            <w:r>
              <w:rPr>
                <w:rStyle w:val="font61"/>
                <w:rFonts w:hint="default"/>
              </w:rPr>
              <w:t>2024</w:t>
            </w:r>
            <w:r>
              <w:rPr>
                <w:rStyle w:val="font61"/>
                <w:rFonts w:hint="default"/>
              </w:rPr>
              <w:t>年无业务开展，截止</w:t>
            </w:r>
            <w:r>
              <w:rPr>
                <w:rStyle w:val="font61"/>
                <w:rFonts w:hint="default"/>
              </w:rPr>
              <w:t>2024</w:t>
            </w:r>
            <w:r>
              <w:rPr>
                <w:rStyle w:val="font61"/>
                <w:rFonts w:hint="default"/>
              </w:rPr>
              <w:t>年</w:t>
            </w:r>
            <w:r>
              <w:rPr>
                <w:rStyle w:val="font61"/>
                <w:rFonts w:hint="default"/>
              </w:rPr>
              <w:t>12</w:t>
            </w:r>
            <w:r>
              <w:rPr>
                <w:rStyle w:val="font61"/>
                <w:rFonts w:hint="default"/>
              </w:rPr>
              <w:t>月资产总额为</w:t>
            </w:r>
            <w:r>
              <w:rPr>
                <w:rStyle w:val="font61"/>
                <w:rFonts w:hint="default"/>
              </w:rPr>
              <w:t>117362413.53</w:t>
            </w:r>
            <w:r>
              <w:rPr>
                <w:rStyle w:val="font61"/>
                <w:rFonts w:hint="default"/>
              </w:rPr>
              <w:t>元。</w:t>
            </w:r>
          </w:p>
        </w:tc>
      </w:tr>
      <w:tr w:rsidR="00000000" w:rsidTr="000E54A8">
        <w:trPr>
          <w:trHeight w:val="2763"/>
          <w:jc w:val="center"/>
        </w:trPr>
        <w:tc>
          <w:tcPr>
            <w:tcW w:w="2086" w:type="dxa"/>
            <w:tcBorders>
              <w:top w:val="single" w:sz="4" w:space="0" w:color="auto"/>
              <w:left w:val="single" w:sz="12" w:space="0" w:color="auto"/>
              <w:bottom w:val="single" w:sz="4" w:space="0" w:color="auto"/>
              <w:right w:val="single" w:sz="4" w:space="0" w:color="auto"/>
            </w:tcBorders>
            <w:vAlign w:val="center"/>
            <w:hideMark/>
          </w:tcPr>
          <w:p w:rsidR="00000000" w:rsidRDefault="00F41510">
            <w:pPr>
              <w:jc w:val="center"/>
              <w:rPr>
                <w:rFonts w:hint="eastAsia"/>
              </w:rPr>
            </w:pPr>
            <w:r>
              <w:rPr>
                <w:rStyle w:val="font61"/>
                <w:rFonts w:hint="default"/>
                <w:b/>
                <w:bCs/>
              </w:rPr>
              <w:lastRenderedPageBreak/>
              <w:t>相关资质</w:t>
            </w:r>
          </w:p>
          <w:p w:rsidR="00000000" w:rsidRDefault="00F41510">
            <w:pPr>
              <w:jc w:val="center"/>
            </w:pPr>
            <w:r>
              <w:rPr>
                <w:rStyle w:val="font61"/>
                <w:rFonts w:hint="default"/>
                <w:b/>
                <w:bCs/>
              </w:rPr>
              <w:t>认可或执</w:t>
            </w:r>
          </w:p>
          <w:p w:rsidR="00000000" w:rsidRDefault="00F41510">
            <w:pPr>
              <w:jc w:val="center"/>
            </w:pPr>
            <w:r>
              <w:rPr>
                <w:rStyle w:val="font61"/>
                <w:rFonts w:hint="default"/>
                <w:b/>
                <w:bCs/>
              </w:rPr>
              <w:t>业许可证</w:t>
            </w:r>
          </w:p>
          <w:p w:rsidR="00000000" w:rsidRDefault="00F41510">
            <w:pPr>
              <w:jc w:val="center"/>
            </w:pPr>
            <w:r>
              <w:rPr>
                <w:rStyle w:val="font61"/>
                <w:rFonts w:hint="default"/>
                <w:b/>
                <w:bCs/>
              </w:rPr>
              <w:t>明文件及</w:t>
            </w:r>
          </w:p>
          <w:p w:rsidR="00000000" w:rsidRDefault="00F41510">
            <w:pPr>
              <w:jc w:val="center"/>
            </w:pPr>
            <w:r>
              <w:rPr>
                <w:rStyle w:val="font61"/>
                <w:rFonts w:hint="default"/>
                <w:b/>
                <w:bCs/>
              </w:rPr>
              <w:t>有效期</w:t>
            </w:r>
          </w:p>
        </w:tc>
        <w:tc>
          <w:tcPr>
            <w:tcW w:w="7567" w:type="dxa"/>
            <w:gridSpan w:val="4"/>
            <w:tcBorders>
              <w:top w:val="single" w:sz="4" w:space="0" w:color="auto"/>
              <w:left w:val="single" w:sz="4" w:space="0" w:color="auto"/>
              <w:bottom w:val="single" w:sz="4" w:space="0" w:color="auto"/>
              <w:right w:val="single" w:sz="12" w:space="0" w:color="auto"/>
            </w:tcBorders>
            <w:hideMark/>
          </w:tcPr>
          <w:p w:rsidR="00000000" w:rsidRDefault="00F41510">
            <w:pPr>
              <w:jc w:val="left"/>
            </w:pPr>
            <w:r>
              <w:rPr>
                <w:rStyle w:val="font71"/>
                <w:rFonts w:hint="default"/>
              </w:rPr>
              <w:t>无</w:t>
            </w:r>
          </w:p>
        </w:tc>
      </w:tr>
      <w:tr w:rsidR="00000000" w:rsidTr="000E54A8">
        <w:trPr>
          <w:trHeight w:val="2479"/>
          <w:jc w:val="center"/>
        </w:trPr>
        <w:tc>
          <w:tcPr>
            <w:tcW w:w="2086" w:type="dxa"/>
            <w:tcBorders>
              <w:top w:val="single" w:sz="4" w:space="0" w:color="auto"/>
              <w:left w:val="single" w:sz="12" w:space="0" w:color="auto"/>
              <w:bottom w:val="single" w:sz="4" w:space="0" w:color="auto"/>
              <w:right w:val="single" w:sz="4" w:space="0" w:color="auto"/>
            </w:tcBorders>
            <w:vAlign w:val="center"/>
            <w:hideMark/>
          </w:tcPr>
          <w:p w:rsidR="00000000" w:rsidRDefault="00F41510">
            <w:pPr>
              <w:jc w:val="center"/>
              <w:rPr>
                <w:rFonts w:hint="eastAsia"/>
              </w:rPr>
            </w:pPr>
            <w:r>
              <w:rPr>
                <w:rStyle w:val="font61"/>
                <w:rFonts w:hint="default"/>
                <w:b/>
                <w:bCs/>
              </w:rPr>
              <w:t>绩</w:t>
            </w:r>
            <w:r>
              <w:rPr>
                <w:rStyle w:val="font61"/>
                <w:rFonts w:hint="default"/>
                <w:b/>
                <w:bCs/>
              </w:rPr>
              <w:t xml:space="preserve"> </w:t>
            </w:r>
            <w:r>
              <w:rPr>
                <w:rStyle w:val="font61"/>
                <w:rFonts w:hint="default"/>
                <w:b/>
                <w:bCs/>
              </w:rPr>
              <w:t>效</w:t>
            </w:r>
            <w:r>
              <w:rPr>
                <w:rStyle w:val="font61"/>
                <w:rFonts w:hint="default"/>
                <w:b/>
                <w:bCs/>
              </w:rPr>
              <w:t xml:space="preserve"> </w:t>
            </w:r>
            <w:r>
              <w:rPr>
                <w:rStyle w:val="font61"/>
                <w:rFonts w:hint="default"/>
                <w:b/>
                <w:bCs/>
              </w:rPr>
              <w:t>和</w:t>
            </w:r>
          </w:p>
          <w:p w:rsidR="00000000" w:rsidRDefault="00F41510">
            <w:pPr>
              <w:jc w:val="center"/>
            </w:pPr>
            <w:r>
              <w:rPr>
                <w:rStyle w:val="font61"/>
                <w:rFonts w:hint="default"/>
                <w:b/>
                <w:bCs/>
              </w:rPr>
              <w:t>受奖惩及</w:t>
            </w:r>
          </w:p>
          <w:p w:rsidR="00000000" w:rsidRDefault="00F41510">
            <w:pPr>
              <w:jc w:val="center"/>
            </w:pPr>
            <w:r>
              <w:rPr>
                <w:rStyle w:val="font61"/>
                <w:rFonts w:hint="default"/>
                <w:b/>
                <w:bCs/>
              </w:rPr>
              <w:t>诉讼投诉</w:t>
            </w:r>
          </w:p>
          <w:p w:rsidR="00000000" w:rsidRDefault="00F41510">
            <w:pPr>
              <w:jc w:val="center"/>
            </w:pPr>
            <w:r>
              <w:rPr>
                <w:rStyle w:val="font61"/>
                <w:rFonts w:hint="default"/>
                <w:b/>
                <w:bCs/>
              </w:rPr>
              <w:t>情</w:t>
            </w:r>
            <w:r>
              <w:rPr>
                <w:rStyle w:val="font61"/>
                <w:rFonts w:hint="default"/>
                <w:b/>
                <w:bCs/>
              </w:rPr>
              <w:t xml:space="preserve"> </w:t>
            </w:r>
            <w:r>
              <w:rPr>
                <w:rStyle w:val="font61"/>
                <w:rFonts w:hint="default"/>
                <w:b/>
                <w:bCs/>
              </w:rPr>
              <w:t>况</w:t>
            </w:r>
          </w:p>
        </w:tc>
        <w:tc>
          <w:tcPr>
            <w:tcW w:w="7567" w:type="dxa"/>
            <w:gridSpan w:val="4"/>
            <w:tcBorders>
              <w:top w:val="single" w:sz="4" w:space="0" w:color="auto"/>
              <w:left w:val="single" w:sz="4" w:space="0" w:color="auto"/>
              <w:bottom w:val="single" w:sz="4" w:space="0" w:color="auto"/>
              <w:right w:val="single" w:sz="12" w:space="0" w:color="auto"/>
            </w:tcBorders>
            <w:hideMark/>
          </w:tcPr>
          <w:p w:rsidR="00000000" w:rsidRDefault="00F41510">
            <w:pPr>
              <w:jc w:val="left"/>
            </w:pPr>
            <w:r>
              <w:rPr>
                <w:rStyle w:val="font71"/>
                <w:rFonts w:hint="default"/>
              </w:rPr>
              <w:t>无</w:t>
            </w:r>
          </w:p>
        </w:tc>
      </w:tr>
      <w:tr w:rsidR="00000000" w:rsidTr="000E54A8">
        <w:trPr>
          <w:trHeight w:val="2363"/>
          <w:jc w:val="center"/>
        </w:trPr>
        <w:tc>
          <w:tcPr>
            <w:tcW w:w="2086" w:type="dxa"/>
            <w:tcBorders>
              <w:top w:val="single" w:sz="4" w:space="0" w:color="auto"/>
              <w:left w:val="single" w:sz="12" w:space="0" w:color="auto"/>
              <w:bottom w:val="single" w:sz="4" w:space="0" w:color="auto"/>
              <w:right w:val="single" w:sz="4" w:space="0" w:color="auto"/>
            </w:tcBorders>
            <w:vAlign w:val="center"/>
            <w:hideMark/>
          </w:tcPr>
          <w:p w:rsidR="00000000" w:rsidRDefault="00F41510">
            <w:pPr>
              <w:jc w:val="center"/>
              <w:rPr>
                <w:rFonts w:hint="eastAsia"/>
              </w:rPr>
            </w:pPr>
            <w:r>
              <w:rPr>
                <w:rStyle w:val="font61"/>
                <w:rFonts w:hint="default"/>
                <w:b/>
                <w:bCs/>
              </w:rPr>
              <w:t>接受捐赠</w:t>
            </w:r>
          </w:p>
          <w:p w:rsidR="00000000" w:rsidRDefault="00F41510">
            <w:pPr>
              <w:jc w:val="center"/>
            </w:pPr>
            <w:r>
              <w:rPr>
                <w:rStyle w:val="font61"/>
                <w:rFonts w:hint="default"/>
                <w:b/>
                <w:bCs/>
              </w:rPr>
              <w:t>资助及其</w:t>
            </w:r>
          </w:p>
          <w:p w:rsidR="00000000" w:rsidRDefault="00F41510">
            <w:pPr>
              <w:jc w:val="center"/>
            </w:pPr>
            <w:r>
              <w:rPr>
                <w:rStyle w:val="font61"/>
                <w:rFonts w:hint="default"/>
                <w:b/>
                <w:bCs/>
              </w:rPr>
              <w:t>使用情况</w:t>
            </w:r>
          </w:p>
        </w:tc>
        <w:tc>
          <w:tcPr>
            <w:tcW w:w="7567" w:type="dxa"/>
            <w:gridSpan w:val="4"/>
            <w:tcBorders>
              <w:top w:val="single" w:sz="4" w:space="0" w:color="auto"/>
              <w:left w:val="single" w:sz="4" w:space="0" w:color="auto"/>
              <w:bottom w:val="single" w:sz="4" w:space="0" w:color="auto"/>
              <w:right w:val="single" w:sz="12" w:space="0" w:color="auto"/>
            </w:tcBorders>
            <w:hideMark/>
          </w:tcPr>
          <w:p w:rsidR="00000000" w:rsidRDefault="00F41510">
            <w:pPr>
              <w:jc w:val="left"/>
            </w:pPr>
            <w:r>
              <w:rPr>
                <w:rStyle w:val="font71"/>
                <w:rFonts w:hint="default"/>
              </w:rPr>
              <w:t>无</w:t>
            </w:r>
          </w:p>
        </w:tc>
      </w:tr>
    </w:tbl>
    <w:p w:rsidR="00F41510" w:rsidRDefault="00F41510">
      <w:pPr>
        <w:jc w:val="left"/>
        <w:rPr>
          <w:rFonts w:ascii="楷体_GB2312" w:eastAsia="楷体_GB2312"/>
          <w:b/>
          <w:bCs/>
          <w:sz w:val="18"/>
        </w:rPr>
      </w:pPr>
    </w:p>
    <w:sectPr w:rsidR="00F41510">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1510" w:rsidRDefault="00F41510" w:rsidP="0088530A">
      <w:r>
        <w:separator/>
      </w:r>
    </w:p>
  </w:endnote>
  <w:endnote w:type="continuationSeparator" w:id="1">
    <w:p w:rsidR="00F41510" w:rsidRDefault="00F41510" w:rsidP="008853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黑体"/>
    <w:charset w:val="86"/>
    <w:family w:val="modern"/>
    <w:pitch w:val="fixed"/>
    <w:sig w:usb0="00000001" w:usb1="080E0000" w:usb2="00000010" w:usb3="00000000" w:csb0="00040000" w:csb1="00000000"/>
  </w:font>
  <w:font w:name="楷体_GB2312">
    <w:altName w:val="黑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1510" w:rsidRDefault="00F41510" w:rsidP="0088530A">
      <w:r>
        <w:separator/>
      </w:r>
    </w:p>
  </w:footnote>
  <w:footnote w:type="continuationSeparator" w:id="1">
    <w:p w:rsidR="00F41510" w:rsidRDefault="00F41510" w:rsidP="008853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530A"/>
    <w:rsid w:val="000E54A8"/>
    <w:rsid w:val="00305116"/>
    <w:rsid w:val="006554B8"/>
    <w:rsid w:val="0088530A"/>
    <w:rsid w:val="008F22BC"/>
    <w:rsid w:val="00F415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nt1">
    <w:name w:val="font1"/>
    <w:basedOn w:val="a"/>
    <w:pPr>
      <w:widowControl/>
      <w:spacing w:before="100" w:beforeAutospacing="1" w:after="100" w:afterAutospacing="1"/>
      <w:jc w:val="left"/>
    </w:pPr>
    <w:rPr>
      <w:rFonts w:ascii="宋体" w:eastAsia="仿宋_GB2312" w:hAnsi="宋体" w:cs="宋体"/>
      <w:kern w:val="0"/>
      <w:sz w:val="30"/>
    </w:rPr>
  </w:style>
  <w:style w:type="paragraph" w:customStyle="1" w:styleId="font2">
    <w:name w:val="font2"/>
    <w:basedOn w:val="a"/>
    <w:pPr>
      <w:widowControl/>
      <w:spacing w:before="100" w:beforeAutospacing="1" w:after="100" w:afterAutospacing="1"/>
      <w:jc w:val="left"/>
    </w:pPr>
    <w:rPr>
      <w:rFonts w:eastAsia="楷体_GB2312" w:hAnsi="宋体" w:cs="宋体"/>
      <w:kern w:val="0"/>
      <w:sz w:val="30"/>
    </w:rPr>
  </w:style>
  <w:style w:type="paragraph" w:customStyle="1" w:styleId="font3">
    <w:name w:val="font3"/>
    <w:basedOn w:val="a"/>
    <w:pPr>
      <w:widowControl/>
      <w:spacing w:before="100" w:beforeAutospacing="1" w:after="100" w:afterAutospacing="1"/>
      <w:jc w:val="left"/>
    </w:pPr>
    <w:rPr>
      <w:rFonts w:eastAsia="黑体" w:hAnsi="黑体" w:cs="宋体"/>
      <w:spacing w:val="40"/>
      <w:kern w:val="0"/>
      <w:sz w:val="52"/>
    </w:rPr>
  </w:style>
  <w:style w:type="paragraph" w:customStyle="1" w:styleId="font4">
    <w:name w:val="font4"/>
    <w:basedOn w:val="a"/>
    <w:pPr>
      <w:widowControl/>
      <w:spacing w:before="100" w:beforeAutospacing="1" w:after="100" w:afterAutospacing="1"/>
      <w:jc w:val="left"/>
    </w:pPr>
    <w:rPr>
      <w:rFonts w:ascii="宋体" w:eastAsia="楷体_GB2312" w:hAnsi="宋体" w:cs="宋体"/>
      <w:spacing w:val="30"/>
      <w:kern w:val="0"/>
      <w:sz w:val="36"/>
    </w:rPr>
  </w:style>
  <w:style w:type="paragraph" w:customStyle="1" w:styleId="font5">
    <w:name w:val="font5"/>
    <w:basedOn w:val="a"/>
    <w:pPr>
      <w:widowControl/>
      <w:spacing w:before="100" w:beforeAutospacing="1" w:after="100" w:afterAutospacing="1"/>
      <w:jc w:val="left"/>
    </w:pPr>
    <w:rPr>
      <w:rFonts w:ascii="黑体" w:eastAsia="黑体" w:hAnsi="黑体" w:cs="宋体"/>
      <w:kern w:val="0"/>
      <w:sz w:val="36"/>
    </w:rPr>
  </w:style>
  <w:style w:type="paragraph" w:customStyle="1" w:styleId="font6">
    <w:name w:val="font6"/>
    <w:basedOn w:val="a"/>
    <w:pPr>
      <w:widowControl/>
      <w:spacing w:before="100" w:beforeAutospacing="1" w:after="100" w:afterAutospacing="1"/>
      <w:jc w:val="left"/>
    </w:pPr>
    <w:rPr>
      <w:rFonts w:eastAsia="楷体_GB2312" w:hAnsi="宋体" w:cs="宋体"/>
      <w:kern w:val="0"/>
      <w:sz w:val="32"/>
    </w:rPr>
  </w:style>
  <w:style w:type="paragraph" w:customStyle="1" w:styleId="font7">
    <w:name w:val="font7"/>
    <w:basedOn w:val="a"/>
    <w:pPr>
      <w:widowControl/>
      <w:spacing w:before="100" w:beforeAutospacing="1" w:after="100" w:afterAutospacing="1"/>
      <w:jc w:val="left"/>
    </w:pPr>
    <w:rPr>
      <w:rFonts w:eastAsia="楷体_GB2312" w:hAnsi="宋体" w:cs="宋体"/>
      <w:kern w:val="0"/>
      <w:sz w:val="28"/>
    </w:rPr>
  </w:style>
  <w:style w:type="paragraph" w:customStyle="1" w:styleId="font8">
    <w:name w:val="font8"/>
    <w:basedOn w:val="a"/>
    <w:pPr>
      <w:widowControl/>
      <w:spacing w:before="100" w:beforeAutospacing="1" w:after="100" w:afterAutospacing="1"/>
      <w:jc w:val="left"/>
    </w:pPr>
    <w:rPr>
      <w:rFonts w:eastAsia="楷体_GB2312" w:hAnsi="宋体" w:cs="宋体"/>
      <w:kern w:val="0"/>
      <w:sz w:val="24"/>
    </w:rPr>
  </w:style>
  <w:style w:type="character" w:customStyle="1" w:styleId="font11">
    <w:name w:val="font11"/>
    <w:basedOn w:val="a0"/>
    <w:rPr>
      <w:rFonts w:eastAsia="仿宋_GB2312"/>
      <w:sz w:val="30"/>
      <w:szCs w:val="24"/>
    </w:rPr>
  </w:style>
  <w:style w:type="character" w:customStyle="1" w:styleId="font21">
    <w:name w:val="font21"/>
    <w:basedOn w:val="a0"/>
    <w:rPr>
      <w:rFonts w:ascii="Times New Roman" w:eastAsia="楷体_GB2312" w:hint="eastAsia"/>
      <w:sz w:val="30"/>
      <w:szCs w:val="24"/>
    </w:rPr>
  </w:style>
  <w:style w:type="character" w:customStyle="1" w:styleId="font31">
    <w:name w:val="font31"/>
    <w:basedOn w:val="a0"/>
    <w:rPr>
      <w:rFonts w:ascii="Times New Roman" w:eastAsia="黑体" w:hAnsi="黑体" w:hint="eastAsia"/>
      <w:spacing w:val="40"/>
      <w:sz w:val="52"/>
      <w:szCs w:val="24"/>
    </w:rPr>
  </w:style>
  <w:style w:type="character" w:customStyle="1" w:styleId="font41">
    <w:name w:val="font41"/>
    <w:basedOn w:val="a0"/>
    <w:rPr>
      <w:rFonts w:eastAsia="楷体_GB2312"/>
      <w:spacing w:val="30"/>
      <w:sz w:val="36"/>
      <w:szCs w:val="24"/>
    </w:rPr>
  </w:style>
  <w:style w:type="character" w:customStyle="1" w:styleId="font51">
    <w:name w:val="font51"/>
    <w:basedOn w:val="a0"/>
    <w:rPr>
      <w:rFonts w:ascii="黑体" w:eastAsia="黑体" w:hAnsi="黑体" w:hint="eastAsia"/>
      <w:sz w:val="36"/>
      <w:szCs w:val="24"/>
    </w:rPr>
  </w:style>
  <w:style w:type="character" w:customStyle="1" w:styleId="font61">
    <w:name w:val="font61"/>
    <w:basedOn w:val="a0"/>
    <w:rPr>
      <w:rFonts w:ascii="Times New Roman" w:eastAsia="楷体_GB2312" w:hint="eastAsia"/>
      <w:sz w:val="32"/>
      <w:szCs w:val="24"/>
    </w:rPr>
  </w:style>
  <w:style w:type="character" w:customStyle="1" w:styleId="font71">
    <w:name w:val="font71"/>
    <w:basedOn w:val="a0"/>
    <w:rPr>
      <w:rFonts w:ascii="Times New Roman" w:eastAsia="楷体_GB2312" w:hint="eastAsia"/>
      <w:sz w:val="28"/>
      <w:szCs w:val="24"/>
    </w:rPr>
  </w:style>
  <w:style w:type="paragraph" w:styleId="a3">
    <w:name w:val="header"/>
    <w:basedOn w:val="a"/>
    <w:link w:val="Char"/>
    <w:uiPriority w:val="99"/>
    <w:semiHidden/>
    <w:unhideWhenUsed/>
    <w:rsid w:val="008853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8530A"/>
    <w:rPr>
      <w:rFonts w:eastAsia="宋体"/>
      <w:kern w:val="2"/>
      <w:sz w:val="18"/>
      <w:szCs w:val="18"/>
    </w:rPr>
  </w:style>
  <w:style w:type="paragraph" w:styleId="a4">
    <w:name w:val="footer"/>
    <w:basedOn w:val="a"/>
    <w:link w:val="Char0"/>
    <w:uiPriority w:val="99"/>
    <w:semiHidden/>
    <w:unhideWhenUsed/>
    <w:rsid w:val="008853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8530A"/>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514</Words>
  <Characters>2934</Characters>
  <Application>Microsoft Office Word</Application>
  <DocSecurity>0</DocSecurity>
  <Lines>24</Lines>
  <Paragraphs>6</Paragraphs>
  <ScaleCrop>false</ScaleCrop>
  <Company/>
  <LinksUpToDate>false</LinksUpToDate>
  <CharactersWithSpaces>3442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2025-05-20T07:05:00Z</dcterms:created>
  <dcterms:modified xsi:type="dcterms:W3CDTF">2025-05-20T07:06:00Z</dcterms:modified>
</cp:coreProperties>
</file>